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FUNDAMENTAL OPERATING STANDARDS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Aim: to initiate communication over levels of operating risk within the businesses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Structural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Establish and implement business and controls infrastructure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business unit head has ultimate responsibility to ensure operating standards are met (working in conjunction with Operations and RAC)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reporting, and/or a systems roadmap for that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appropriate involvement in business for specialist services (Legal, Tax and HR)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sufficient resourcing both in quality and quantity for all processes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business counterparties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trading/origination activities and 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credit limits have been defined and approved and capabilities exist to monitor credit exposure by counterparty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Define functional responsibilities across business/offices and ensure segregation for the following duties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Execution (Commercial)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Controls (Commercial Support)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Review (RAC)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Transactional</w:t>
      </w:r>
    </w:p>
    <w:p>
      <w:pPr>
        <w:pStyle w:val="Normal"/>
        <w:jc w:val="both"/>
        <w:rPr>
          <w:b/>
        </w:rPr>
      </w:pPr>
      <w:r>
        <w:rPr>
          <w:b/>
        </w:rPr>
        <w:t>Transactions are recorded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appropriate risk system on date of trade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Daily Management P&amp;L and Position reporting is accurate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daily positions and P&amp;L have been approved and signed off by trading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issued on next day of trading at a commercially pre-determined time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Timely confirmation and execution of transactions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 of all brokered trades with brokers by COB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sent to/received from counterparties within 24 hours of trade execution and agreed to risk system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executed with counterparty within 7 days of trade date with exceptions noted and communicated to management with the associated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Settlements with counterparties occurs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invoices/payments sent to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Operating system data matches Risk Systems and General Ledger data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flash to actual variances and prior month adjustments cleared within 30 days of identification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general ledger accounts are reconciled and outstanding items cleared within 7 workdays subsequent to month-end </w:t>
        <w:tab/>
      </w:r>
    </w:p>
    <w:sectPr>
      <w:type w:val="nextPage"/>
      <w:pgSz w:w="11906" w:h="16838"/>
      <w:pgMar w:left="1701" w:right="1701" w:gutter="0" w:header="0" w:top="1077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2000-06-30T13:53:00Z</dcterms:created>
  <dc:creator>fmcnaugh</dc:creator>
  <dc:description/>
  <dc:language>en-CA</dc:language>
  <cp:lastModifiedBy>mjordan2</cp:lastModifiedBy>
  <cp:lastPrinted>2000-06-30T08:09:00Z</cp:lastPrinted>
  <dcterms:modified xsi:type="dcterms:W3CDTF">2000-06-30T13:53:00Z</dcterms:modified>
  <cp:revision>2</cp:revision>
  <dc:subject/>
  <dc:title>FUNDAMENTAL OPERATING STANDARDS</dc:title>
</cp:coreProperties>
</file>