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FUELCELL ENERGY</w:t>
      </w:r>
    </w:p>
    <w:p>
      <w:pPr>
        <w:pStyle w:val="Normal"/>
        <w:jc w:val="center"/>
        <w:rPr>
          <w:b/>
        </w:rPr>
      </w:pPr>
      <w:r>
        <w:rPr>
          <w:b/>
        </w:rPr>
        <w:t>MAJOR BUSINESS ISSUE LIST</w:t>
      </w:r>
    </w:p>
    <w:p>
      <w:pPr>
        <w:pStyle w:val="Normal"/>
        <w:jc w:val="center"/>
        <w:rPr>
          <w:b/>
        </w:rPr>
      </w:pPr>
      <w:r>
        <w:rPr>
          <w:b/>
        </w:rPr>
        <w:t>November 5, 2000 Purchase Order Draft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Specifications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Impact on permitting </w:t>
      </w:r>
    </w:p>
    <w:p>
      <w:pPr>
        <w:pStyle w:val="Normal"/>
        <w:numPr>
          <w:ilvl w:val="0"/>
          <w:numId w:val="5"/>
        </w:numPr>
        <w:rPr/>
      </w:pPr>
      <w:r>
        <w:rPr/>
        <w:t>Impact on Purchaser Responsibilities (BOP for electrical, foundation …etc.)</w:t>
      </w:r>
    </w:p>
    <w:p>
      <w:pPr>
        <w:pStyle w:val="Normal"/>
        <w:numPr>
          <w:ilvl w:val="0"/>
          <w:numId w:val="5"/>
        </w:numPr>
        <w:rPr/>
      </w:pPr>
      <w:r>
        <w:rPr/>
        <w:t>Timing of Final Specifications</w:t>
      </w:r>
    </w:p>
    <w:p>
      <w:pPr>
        <w:pStyle w:val="Normal"/>
        <w:numPr>
          <w:ilvl w:val="0"/>
          <w:numId w:val="5"/>
        </w:numPr>
        <w:rPr/>
      </w:pPr>
      <w:r>
        <w:rPr/>
        <w:t>Hazardous Materials</w:t>
      </w:r>
    </w:p>
    <w:p>
      <w:pPr>
        <w:pStyle w:val="Normal"/>
        <w:numPr>
          <w:ilvl w:val="0"/>
          <w:numId w:val="10"/>
        </w:numPr>
        <w:rPr/>
      </w:pPr>
      <w:r>
        <w:rPr/>
        <w:t>Termination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No harm, no termination </w:t>
      </w:r>
    </w:p>
    <w:p>
      <w:pPr>
        <w:pStyle w:val="Normal"/>
        <w:numPr>
          <w:ilvl w:val="0"/>
          <w:numId w:val="4"/>
        </w:numPr>
        <w:rPr/>
      </w:pPr>
      <w:r>
        <w:rPr/>
        <w:t>Seller Bankruptcy period</w:t>
      </w:r>
    </w:p>
    <w:p>
      <w:pPr>
        <w:pStyle w:val="Normal"/>
        <w:numPr>
          <w:ilvl w:val="0"/>
          <w:numId w:val="4"/>
        </w:numPr>
        <w:rPr/>
      </w:pPr>
      <w:r>
        <w:rPr/>
        <w:t>Voiding of a Termination Notice</w:t>
      </w:r>
    </w:p>
    <w:p>
      <w:pPr>
        <w:pStyle w:val="Normal"/>
        <w:numPr>
          <w:ilvl w:val="0"/>
          <w:numId w:val="10"/>
        </w:numPr>
        <w:rPr/>
      </w:pPr>
      <w:r>
        <w:rPr/>
        <w:t>Release Provisions</w:t>
      </w:r>
    </w:p>
    <w:p>
      <w:pPr>
        <w:pStyle w:val="Normal"/>
        <w:numPr>
          <w:ilvl w:val="0"/>
          <w:numId w:val="6"/>
        </w:numPr>
        <w:rPr/>
      </w:pPr>
      <w:r>
        <w:rPr/>
        <w:t>If Purchaser gives a Release within certain parameters, no additional negotiations/firm deal</w:t>
      </w:r>
    </w:p>
    <w:p>
      <w:pPr>
        <w:pStyle w:val="Normal"/>
        <w:numPr>
          <w:ilvl w:val="0"/>
          <w:numId w:val="6"/>
        </w:numPr>
        <w:rPr/>
      </w:pPr>
      <w:r>
        <w:rPr/>
        <w:t>Guaranteed Acceptance Date—Needs to tie in with termination language</w:t>
      </w:r>
    </w:p>
    <w:p>
      <w:pPr>
        <w:pStyle w:val="Normal"/>
        <w:numPr>
          <w:ilvl w:val="0"/>
          <w:numId w:val="6"/>
        </w:numPr>
        <w:rPr/>
      </w:pPr>
      <w:r>
        <w:rPr/>
        <w:t>Expected Delivery Date—What are the parameters for changing this date after Release?</w:t>
      </w:r>
    </w:p>
    <w:p>
      <w:pPr>
        <w:pStyle w:val="Normal"/>
        <w:numPr>
          <w:ilvl w:val="0"/>
          <w:numId w:val="6"/>
        </w:numPr>
        <w:rPr/>
      </w:pPr>
      <w:r>
        <w:rPr/>
        <w:t>Facility identification parameters</w:t>
      </w:r>
    </w:p>
    <w:p>
      <w:pPr>
        <w:pStyle w:val="Normal"/>
        <w:numPr>
          <w:ilvl w:val="0"/>
          <w:numId w:val="10"/>
        </w:numPr>
        <w:rPr/>
      </w:pPr>
      <w:r>
        <w:rPr/>
        <w:t>Performance Standards</w:t>
      </w:r>
    </w:p>
    <w:p>
      <w:pPr>
        <w:pStyle w:val="Normal"/>
        <w:numPr>
          <w:ilvl w:val="0"/>
          <w:numId w:val="8"/>
        </w:numPr>
        <w:rPr/>
      </w:pPr>
      <w:r>
        <w:rPr/>
        <w:t>Sound Test mechanics</w:t>
      </w:r>
    </w:p>
    <w:p>
      <w:pPr>
        <w:pStyle w:val="Normal"/>
        <w:numPr>
          <w:ilvl w:val="0"/>
          <w:numId w:val="8"/>
        </w:numPr>
        <w:rPr/>
      </w:pPr>
      <w:r>
        <w:rPr/>
        <w:t>Need a standard for water quality for both consumption and discharge</w:t>
      </w:r>
    </w:p>
    <w:p>
      <w:pPr>
        <w:pStyle w:val="Normal"/>
        <w:numPr>
          <w:ilvl w:val="0"/>
          <w:numId w:val="8"/>
        </w:numPr>
        <w:rPr/>
      </w:pPr>
      <w:r>
        <w:rPr/>
        <w:t>Obligation to improve performance—heat rate</w:t>
      </w:r>
    </w:p>
    <w:p>
      <w:pPr>
        <w:pStyle w:val="Normal"/>
        <w:numPr>
          <w:ilvl w:val="0"/>
          <w:numId w:val="10"/>
        </w:numPr>
        <w:rPr/>
      </w:pPr>
      <w:r>
        <w:rPr/>
        <w:t>Change Order/Other Charges</w:t>
      </w:r>
    </w:p>
    <w:p>
      <w:pPr>
        <w:pStyle w:val="Normal"/>
        <w:numPr>
          <w:ilvl w:val="0"/>
          <w:numId w:val="9"/>
        </w:numPr>
        <w:rPr/>
      </w:pPr>
      <w:r>
        <w:rPr/>
        <w:t>Retroactive Adjustment</w:t>
      </w:r>
    </w:p>
    <w:p>
      <w:pPr>
        <w:pStyle w:val="Normal"/>
        <w:numPr>
          <w:ilvl w:val="0"/>
          <w:numId w:val="9"/>
        </w:numPr>
        <w:rPr/>
      </w:pPr>
      <w:r>
        <w:rPr/>
        <w:t>“</w:t>
      </w:r>
      <w:r>
        <w:rPr/>
        <w:t>Unspecified Charges”</w:t>
      </w:r>
    </w:p>
    <w:p>
      <w:pPr>
        <w:pStyle w:val="Normal"/>
        <w:numPr>
          <w:ilvl w:val="0"/>
          <w:numId w:val="9"/>
        </w:numPr>
        <w:rPr/>
      </w:pPr>
      <w:r>
        <w:rPr/>
        <w:t>Compliance with Laws</w:t>
      </w:r>
    </w:p>
    <w:p>
      <w:pPr>
        <w:pStyle w:val="Normal"/>
        <w:numPr>
          <w:ilvl w:val="0"/>
          <w:numId w:val="9"/>
        </w:numPr>
        <w:rPr/>
      </w:pPr>
      <w:r>
        <w:rPr/>
        <w:t>Financing Assistance</w:t>
      </w:r>
    </w:p>
    <w:p>
      <w:pPr>
        <w:pStyle w:val="Normal"/>
        <w:numPr>
          <w:ilvl w:val="0"/>
          <w:numId w:val="10"/>
        </w:numPr>
        <w:rPr/>
      </w:pPr>
      <w:r>
        <w:rPr/>
        <w:t>O&amp;M Parts/Additional Testing</w:t>
      </w:r>
    </w:p>
    <w:p>
      <w:pPr>
        <w:pStyle w:val="Normal"/>
        <w:numPr>
          <w:ilvl w:val="0"/>
          <w:numId w:val="11"/>
        </w:numPr>
        <w:rPr/>
      </w:pPr>
      <w:r>
        <w:rPr/>
        <w:t>Performance Testing—Who is supplying spare parts?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Are we getting a proposed conceptual O&amp;M list? </w:t>
      </w:r>
    </w:p>
    <w:p>
      <w:pPr>
        <w:pStyle w:val="Normal"/>
        <w:numPr>
          <w:ilvl w:val="0"/>
          <w:numId w:val="11"/>
        </w:numPr>
        <w:rPr/>
      </w:pPr>
      <w:r>
        <w:rPr/>
        <w:t>ENA suggestion on cost sharing of additional tests</w:t>
      </w:r>
    </w:p>
    <w:p>
      <w:pPr>
        <w:pStyle w:val="Normal"/>
        <w:numPr>
          <w:ilvl w:val="0"/>
          <w:numId w:val="10"/>
        </w:numPr>
        <w:rPr/>
      </w:pPr>
      <w:r>
        <w:rPr/>
        <w:t>Purchaser Delay</w:t>
      </w:r>
    </w:p>
    <w:p>
      <w:pPr>
        <w:pStyle w:val="Normal"/>
        <w:numPr>
          <w:ilvl w:val="0"/>
          <w:numId w:val="2"/>
        </w:numPr>
        <w:rPr/>
      </w:pPr>
      <w:r>
        <w:rPr/>
        <w:t>Needs to be revised for permitting &amp; specification arrangement</w:t>
      </w:r>
    </w:p>
    <w:p>
      <w:pPr>
        <w:pStyle w:val="Normal"/>
        <w:numPr>
          <w:ilvl w:val="0"/>
          <w:numId w:val="2"/>
        </w:numPr>
        <w:rPr/>
      </w:pPr>
      <w:r>
        <w:rPr/>
        <w:t>Major components to site</w:t>
      </w:r>
    </w:p>
    <w:p>
      <w:pPr>
        <w:pStyle w:val="Normal"/>
        <w:numPr>
          <w:ilvl w:val="0"/>
          <w:numId w:val="2"/>
        </w:numPr>
        <w:rPr/>
      </w:pPr>
      <w:r>
        <w:rPr/>
        <w:t>150 day delay provision</w:t>
      </w:r>
    </w:p>
    <w:p>
      <w:pPr>
        <w:pStyle w:val="Normal"/>
        <w:numPr>
          <w:ilvl w:val="0"/>
          <w:numId w:val="10"/>
        </w:numPr>
        <w:rPr/>
      </w:pPr>
      <w:r>
        <w:rPr/>
        <w:t>Acceptance Conditions</w:t>
      </w:r>
    </w:p>
    <w:p>
      <w:pPr>
        <w:pStyle w:val="Normal"/>
        <w:numPr>
          <w:ilvl w:val="0"/>
          <w:numId w:val="10"/>
        </w:numPr>
        <w:rPr/>
      </w:pPr>
      <w:r>
        <w:rPr/>
        <w:t>Warranty</w:t>
      </w:r>
    </w:p>
    <w:p>
      <w:pPr>
        <w:pStyle w:val="Normal"/>
        <w:numPr>
          <w:ilvl w:val="0"/>
          <w:numId w:val="7"/>
        </w:numPr>
        <w:rPr/>
      </w:pPr>
      <w:r>
        <w:rPr/>
        <w:t>Fit for design</w:t>
      </w:r>
    </w:p>
    <w:p>
      <w:pPr>
        <w:pStyle w:val="Normal"/>
        <w:numPr>
          <w:ilvl w:val="0"/>
          <w:numId w:val="7"/>
        </w:numPr>
        <w:rPr/>
      </w:pPr>
      <w:r>
        <w:rPr/>
        <w:t>Damage</w:t>
      </w:r>
    </w:p>
    <w:p>
      <w:pPr>
        <w:pStyle w:val="Normal"/>
        <w:numPr>
          <w:ilvl w:val="0"/>
          <w:numId w:val="10"/>
        </w:numPr>
        <w:rPr/>
      </w:pPr>
      <w:r>
        <w:rPr/>
        <w:t>Intellectual Property</w:t>
      </w:r>
    </w:p>
    <w:p>
      <w:pPr>
        <w:pStyle w:val="Normal"/>
        <w:numPr>
          <w:ilvl w:val="0"/>
          <w:numId w:val="12"/>
        </w:numPr>
        <w:rPr/>
      </w:pPr>
      <w:r>
        <w:rPr/>
        <w:t>Indemnity qualifier</w:t>
      </w:r>
    </w:p>
    <w:p>
      <w:pPr>
        <w:pStyle w:val="Normal"/>
        <w:numPr>
          <w:ilvl w:val="0"/>
          <w:numId w:val="12"/>
        </w:numPr>
        <w:rPr/>
      </w:pPr>
      <w:r>
        <w:rPr/>
        <w:t>Deletion of settlement provision</w:t>
      </w:r>
    </w:p>
    <w:p>
      <w:pPr>
        <w:pStyle w:val="Normal"/>
        <w:numPr>
          <w:ilvl w:val="0"/>
          <w:numId w:val="10"/>
        </w:numPr>
        <w:rPr/>
      </w:pPr>
      <w:r>
        <w:rPr/>
        <w:t>Shipping Provisions</w:t>
      </w:r>
    </w:p>
    <w:p>
      <w:pPr>
        <w:pStyle w:val="Normal"/>
        <w:numPr>
          <w:ilvl w:val="0"/>
          <w:numId w:val="10"/>
        </w:numPr>
        <w:rPr/>
      </w:pPr>
      <w:r>
        <w:rPr/>
        <w:t>Force Majeure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Notice provisions </w:t>
      </w:r>
    </w:p>
    <w:p>
      <w:pPr>
        <w:pStyle w:val="Normal"/>
        <w:numPr>
          <w:ilvl w:val="0"/>
          <w:numId w:val="3"/>
        </w:numPr>
        <w:rPr/>
      </w:pPr>
      <w:r>
        <w:rPr/>
        <w:t>Technology and manufacturing exclusion</w:t>
      </w:r>
    </w:p>
    <w:p>
      <w:pPr>
        <w:pStyle w:val="Normal"/>
        <w:numPr>
          <w:ilvl w:val="0"/>
          <w:numId w:val="10"/>
        </w:numPr>
        <w:rPr/>
      </w:pPr>
      <w:r>
        <w:rPr/>
        <w:t>Assignment</w:t>
      </w:r>
    </w:p>
    <w:p>
      <w:pPr>
        <w:pStyle w:val="Normal"/>
        <w:numPr>
          <w:ilvl w:val="0"/>
          <w:numId w:val="1"/>
        </w:numPr>
        <w:rPr/>
      </w:pPr>
      <w:r>
        <w:rPr/>
        <w:t>Lender</w:t>
      </w:r>
    </w:p>
    <w:p>
      <w:pPr>
        <w:pStyle w:val="Normal"/>
        <w:numPr>
          <w:ilvl w:val="0"/>
          <w:numId w:val="1"/>
        </w:numPr>
        <w:rPr/>
      </w:pPr>
      <w:r>
        <w:rPr/>
        <w:t>Enron</w:t>
      </w:r>
    </w:p>
    <w:p>
      <w:pPr>
        <w:pStyle w:val="Normal"/>
        <w:numPr>
          <w:ilvl w:val="0"/>
          <w:numId w:val="1"/>
        </w:numPr>
        <w:rPr/>
      </w:pPr>
      <w:r>
        <w:rPr/>
        <w:t>CRRA</w:t>
      </w:r>
    </w:p>
    <w:p>
      <w:pPr>
        <w:pStyle w:val="Normal"/>
        <w:rPr/>
      </w:pPr>
      <w:r>
        <w:rPr/>
        <w:t>14.  Liens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2000-11-06T21:21:00Z</dcterms:created>
  <dc:creator>shealy</dc:creator>
  <dc:description/>
  <dc:language>en-CA</dc:language>
  <cp:lastModifiedBy>shealy</cp:lastModifiedBy>
  <dcterms:modified xsi:type="dcterms:W3CDTF">2000-11-06T21:21:00Z</dcterms:modified>
  <cp:revision>2</cp:revision>
  <dc:subject/>
  <dc:title>FUELCELL ENERGY</dc:title>
</cp:coreProperties>
</file>