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M E M O R A N D U M</w:t>
      </w:r>
    </w:p>
    <w:p>
      <w:pPr>
        <w:pStyle w:val="Normal"/>
        <w:rPr/>
      </w:pPr>
      <w:r>
        <w:rPr/>
      </w:r>
    </w:p>
    <w:p>
      <w:pPr>
        <w:pStyle w:val="Normal"/>
        <w:rPr/>
      </w:pPr>
      <w:r>
        <w:rPr/>
      </w:r>
    </w:p>
    <w:p>
      <w:pPr>
        <w:pStyle w:val="Normal"/>
        <w:rPr>
          <w:b/>
          <w:bCs/>
        </w:rPr>
      </w:pPr>
      <w:r>
        <w:rPr>
          <w:b/>
          <w:bCs/>
        </w:rPr>
      </w:r>
    </w:p>
    <w:p>
      <w:pPr>
        <w:pStyle w:val="Normal"/>
        <w:rPr/>
      </w:pPr>
      <w:r>
        <w:rPr>
          <w:b/>
          <w:bCs/>
        </w:rPr>
        <w:t>To:</w:t>
      </w:r>
      <w:r>
        <w:rPr/>
        <w:tab/>
        <w:t>Richard Shapiro, Lisa Yoho</w:t>
        <w:tab/>
        <w:tab/>
        <w:tab/>
        <w:t>May 16, 2001</w:t>
      </w:r>
    </w:p>
    <w:p>
      <w:pPr>
        <w:pStyle w:val="Normal"/>
        <w:rPr/>
      </w:pPr>
      <w:r>
        <w:rPr/>
      </w:r>
    </w:p>
    <w:p>
      <w:pPr>
        <w:pStyle w:val="Normal"/>
        <w:rPr/>
      </w:pPr>
      <w:r>
        <w:rPr>
          <w:b/>
          <w:bCs/>
        </w:rPr>
        <w:t>Fr:</w:t>
      </w:r>
      <w:r>
        <w:rPr/>
        <w:tab/>
        <w:t>Bob Frank</w:t>
      </w:r>
    </w:p>
    <w:p>
      <w:pPr>
        <w:pStyle w:val="Normal"/>
        <w:rPr/>
      </w:pPr>
      <w:r>
        <w:rPr/>
      </w:r>
    </w:p>
    <w:p>
      <w:pPr>
        <w:pStyle w:val="Normal"/>
        <w:rPr/>
      </w:pPr>
      <w:r>
        <w:rPr>
          <w:b/>
          <w:bCs/>
        </w:rPr>
        <w:t>Re:</w:t>
      </w:r>
      <w:r>
        <w:rPr/>
        <w:tab/>
        <w:t>Federal Trade Commission - B2B Workshop</w:t>
      </w:r>
    </w:p>
    <w:p>
      <w:pPr>
        <w:pStyle w:val="Normal"/>
        <w:rPr/>
      </w:pPr>
      <w:r>
        <w:rPr/>
      </w:r>
    </w:p>
    <w:p>
      <w:pPr>
        <w:pStyle w:val="Normal"/>
        <w:rPr/>
      </w:pPr>
      <w:r>
        <w:rPr/>
        <w:t xml:space="preserve"> </w:t>
      </w:r>
      <w:r>
        <w:rPr/>
        <w:tab/>
        <w:t xml:space="preserve">This memo summarizes the FTC’s workshop on B2Bs and competition policy, which I attended last week.  </w:t>
      </w:r>
    </w:p>
    <w:p>
      <w:pPr>
        <w:pStyle w:val="Normal"/>
        <w:ind w:firstLine="720" w:end="0"/>
        <w:rPr/>
      </w:pPr>
      <w:r>
        <w:rPr/>
      </w:r>
    </w:p>
    <w:p>
      <w:pPr>
        <w:pStyle w:val="Normal"/>
        <w:ind w:firstLine="720" w:end="0"/>
        <w:rPr/>
      </w:pPr>
      <w:r>
        <w:rPr/>
        <w:t xml:space="preserve">The FTC stated that the purpose of the workshop was to “continue the dialogue” it began last year with a workshop and subsequent Staff Report on B2Bs and potential antitrust concerns.  The FTC has not yet decided whether it will issue another report following the public comment period.  As with last year’s workshop, this process is not intended to develop rules or guidelines for enforcement actions, but rather to “lay the foundation for understanding how to answer traditional antitrust questions in the context of new B2B technology.”  Thus, the FTC is still at an early stage of formulating its policies in the B2B area.     </w:t>
      </w:r>
    </w:p>
    <w:p>
      <w:pPr>
        <w:pStyle w:val="Normal"/>
        <w:ind w:firstLine="720" w:end="0"/>
        <w:rPr/>
      </w:pPr>
      <w:r>
        <w:rPr/>
      </w:r>
    </w:p>
    <w:p>
      <w:pPr>
        <w:pStyle w:val="Normal"/>
        <w:ind w:firstLine="720" w:end="0"/>
        <w:rPr/>
      </w:pPr>
      <w:r>
        <w:rPr/>
        <w:t xml:space="preserve">The FTC is focusing on B2B “exchanges” – sites where buyers and sellers meet to transact goods and services.  This model is fundamentally different than EnronOnline, which does not provide a service of bringing buyers and sellers together.  EOL simply provides an electronic platform for transacting with Enron.  From an antitrust perspective, the distinction is an important one:  exchanges frequently involve collaborations among a group of rival sellers (or buyers).  These collaborations (whether in the form of joint ventures or other shared equity arrangements) raise possible antitrust issues that are not raised by single-party trading platforms such as EOL.  For example, an exchange that is collectively owned or controlled by a group of rival-sellers could raise issues about information sharing arrangements; specifically, whether these arrangements might lead to price collusion.  This is not an issue for EnronOnline because EOL is owned exclusively by Enron and facilitates transactions only with Enron.      </w:t>
      </w:r>
    </w:p>
    <w:p>
      <w:pPr>
        <w:pStyle w:val="Normal"/>
        <w:ind w:firstLine="720" w:end="0"/>
        <w:rPr/>
      </w:pPr>
      <w:r>
        <w:rPr/>
      </w:r>
    </w:p>
    <w:p>
      <w:pPr>
        <w:pStyle w:val="Normal"/>
        <w:ind w:firstLine="720" w:end="0"/>
        <w:rPr/>
      </w:pPr>
      <w:r>
        <w:rPr/>
        <w:t>In addition to the potential for collusive activity, the Staff Report discussed other areas where exchanges could raise antitrust issues, including:</w:t>
      </w:r>
    </w:p>
    <w:p>
      <w:pPr>
        <w:pStyle w:val="Normal"/>
        <w:ind w:firstLine="720" w:end="0"/>
        <w:rPr/>
      </w:pPr>
      <w:r>
        <w:rPr/>
      </w:r>
    </w:p>
    <w:p>
      <w:pPr>
        <w:pStyle w:val="Normal"/>
        <w:numPr>
          <w:ilvl w:val="0"/>
          <w:numId w:val="1"/>
        </w:numPr>
        <w:rPr/>
      </w:pPr>
      <w:r>
        <w:rPr/>
        <w:t>Monopsony power – a B2B exchange could be used by a buying group to reduce purchase price by scaling back purchases;</w:t>
      </w:r>
    </w:p>
    <w:p>
      <w:pPr>
        <w:pStyle w:val="Normal"/>
        <w:rPr/>
      </w:pPr>
      <w:r>
        <w:rPr/>
      </w:r>
    </w:p>
    <w:p>
      <w:pPr>
        <w:pStyle w:val="Normal"/>
        <w:numPr>
          <w:ilvl w:val="0"/>
          <w:numId w:val="1"/>
        </w:numPr>
        <w:rPr/>
      </w:pPr>
      <w:r>
        <w:rPr/>
        <w:t>Exclusionary practices – an exchange owned by several major players in an industry could improperly exclude competitors</w:t>
      </w:r>
      <w:r>
        <w:rPr>
          <w:rStyle w:val="FootnoteCharacters"/>
          <w:rStyle w:val="FootnoteReference"/>
        </w:rPr>
        <w:footnoteReference w:id="2"/>
      </w:r>
      <w:r>
        <w:rPr/>
        <w:t>; and</w:t>
      </w:r>
    </w:p>
    <w:p>
      <w:pPr>
        <w:pStyle w:val="Normal"/>
        <w:rPr/>
      </w:pPr>
      <w:r>
        <w:rPr/>
      </w:r>
    </w:p>
    <w:p>
      <w:pPr>
        <w:pStyle w:val="Normal"/>
        <w:numPr>
          <w:ilvl w:val="0"/>
          <w:numId w:val="1"/>
        </w:numPr>
        <w:rPr/>
      </w:pPr>
      <w:r>
        <w:rPr/>
        <w:t>Exclusivity – an exchange could undermine the development of other competitive exchanges by improperly requiring or encouraging buyers or sellers to deal with that exchange to the exclusion of others.</w:t>
      </w:r>
    </w:p>
    <w:p>
      <w:pPr>
        <w:pStyle w:val="Normal"/>
        <w:rPr/>
      </w:pPr>
      <w:r>
        <w:rPr/>
      </w:r>
    </w:p>
    <w:p>
      <w:pPr>
        <w:pStyle w:val="Normal"/>
        <w:ind w:firstLine="360" w:end="0"/>
        <w:rPr/>
      </w:pPr>
      <w:r>
        <w:rPr/>
        <w:t xml:space="preserve">The recent workshop was designed to further explore these issues and its focus continues to be on exchanges, not single-party platforms such as EOL.  While we have the opportunity to submit written comments, I think the better course is to continue monitoring the FTC’s evolving policy deliberations and work with Legal to identify our interests before committing to positions on how the antitrust laws should be applied in various scenarios.  Although there were some subjects discussed that could apply to EOL - such as “interoperability agreements” – we do not yet have a clear position on the antitrust implications for such arrangements.  EOL’s business is still evolving making it even more difficult to identify our interests and positions on the issues raised by the FTC.  For instance, it is possible that EOL will be consolidating or acquiring other trading platforms in the near future.  I do not see the advantage of submitting comments at this time.  I have spoken with Mark Greenberg (ENA lawyer who handles e-commerce issues) – and he agrees with this approach.  I will continue to work with Mark and monitor developments at the FTC.  </w:t>
      </w:r>
    </w:p>
    <w:p>
      <w:pPr>
        <w:pStyle w:val="Normal"/>
        <w:rPr/>
      </w:pPr>
      <w:r>
        <w:rPr/>
      </w:r>
    </w:p>
    <w:p>
      <w:pPr>
        <w:pStyle w:val="Normal"/>
        <w:rPr/>
      </w:pPr>
      <w:r>
        <w:rPr/>
      </w:r>
    </w:p>
    <w:p>
      <w:pPr>
        <w:pStyle w:val="Normal"/>
        <w:rPr/>
      </w:pPr>
      <w:r>
        <w:rPr/>
        <w:t xml:space="preserve"> </w:t>
      </w:r>
    </w:p>
    <w:sectPr>
      <w:footerReference w:type="default" r:id="rId2"/>
      <w:footerReference w:type="first" r:id="rId3"/>
      <w:footnotePr>
        <w:numFmt w:val="decimal"/>
      </w:footnotePr>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13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 xml:space="preserve">As a general matter, an exclusionary practice raises antitrust issues only when it “harms competition, not merely competitors.”  Staff Report at 17-18. </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20"/>
        </w:tabs>
        <w:ind w:start="720" w:hanging="360"/>
      </w:pPr>
      <w:rPr>
        <w:rFonts w:ascii="Symbol" w:hAnsi="Symbol" w:cs="Symbol"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15"/>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Wingdings" w:hAnsi="Wingdings" w:cs="Wingdings"/>
      <w:sz w:val="16"/>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b/>
      <w:bCs/>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firstLine="720" w:start="0" w:end="0"/>
    </w:pPr>
    <w:rPr/>
  </w:style>
  <w:style w:type="paragraph" w:styleId="FootnoteText">
    <w:name w:val="footnote text"/>
    <w:basedOn w:val="Normal"/>
    <w:pPr/>
    <w:rPr>
      <w:sz w:val="20"/>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2001-05-16T14:23:00Z</dcterms:created>
  <dc:creator>rfrank</dc:creator>
  <dc:description/>
  <dc:language>en-CA</dc:language>
  <cp:lastModifiedBy>rfrank</cp:lastModifiedBy>
  <cp:lastPrinted>2001-05-15T17:44:00Z</cp:lastPrinted>
  <dcterms:modified xsi:type="dcterms:W3CDTF">2001-05-16T14:23:00Z</dcterms:modified>
  <cp:revision>2</cp:revision>
  <dc:subject/>
  <dc:title>M E M O R A N D U M</dc:title>
</cp:coreProperties>
</file>