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foot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center"/>
        <w:rPr>
          <w:rFonts w:ascii="Arial" w:hAnsi="Arial" w:cs="Arial"/>
          <w:i w:val="false"/>
          <w:i w:val="false"/>
          <w:sz w:val="28"/>
        </w:rPr>
      </w:pPr>
      <w:r>
        <w:rPr>
          <w:rFonts w:cs="Arial" w:ascii="Arial" w:hAnsi="Arial"/>
          <w:i w:val="false"/>
          <w:sz w:val="28"/>
        </w:rPr>
        <w:t>New D&amp;B Financial Stress Score</w:t>
      </w:r>
    </w:p>
    <w:p>
      <w:pPr>
        <w:pStyle w:val="Heading1"/>
        <w:spacing w:before="0" w:after="120"/>
        <w:ind w:hanging="0" w:start="0"/>
        <w:rPr>
          <w:rFonts w:ascii="Times New Roman" w:hAnsi="Times New Roman" w:cs="Times New Roman"/>
          <w:i/>
          <w:i/>
          <w:sz w:val="24"/>
        </w:rPr>
      </w:pPr>
      <w:r>
        <w:rPr>
          <w:rFonts w:cs="Times New Roman" w:ascii="Times New Roman" w:hAnsi="Times New Roman"/>
          <w:i/>
          <w:sz w:val="24"/>
        </w:rPr>
        <w:t>Projected Performance Table</w:t>
      </w:r>
    </w:p>
    <w:p>
      <w:pPr>
        <w:pStyle w:val="Normal"/>
        <w:rPr>
          <w:rFonts w:ascii="Times New Roman" w:hAnsi="Times New Roman" w:cs="Times New Roman"/>
          <w:b/>
          <w:i/>
          <w:i/>
          <w:sz w:val="16"/>
        </w:rPr>
      </w:pPr>
      <w:r>
        <w:rPr>
          <w:rFonts w:cs="Times New Roman"/>
          <w:b/>
          <w:i/>
          <w:sz w:val="16"/>
        </w:rPr>
      </w:r>
    </w:p>
    <w:tbl>
      <w:tblPr>
        <w:tblW w:w="9756" w:type="dxa"/>
        <w:jc w:val="start"/>
        <w:tblInd w:w="-60" w:type="dxa"/>
        <w:tblLayout w:type="fixed"/>
        <w:tblCellMar>
          <w:top w:w="0" w:type="dxa"/>
          <w:start w:w="30" w:type="dxa"/>
          <w:bottom w:w="0" w:type="dxa"/>
          <w:end w:w="30" w:type="dxa"/>
        </w:tblCellMar>
      </w:tblPr>
      <w:tblGrid>
        <w:gridCol w:w="540"/>
        <w:gridCol w:w="900"/>
        <w:gridCol w:w="810"/>
        <w:gridCol w:w="720"/>
        <w:gridCol w:w="630"/>
        <w:gridCol w:w="792"/>
        <w:gridCol w:w="864"/>
        <w:gridCol w:w="810"/>
        <w:gridCol w:w="990"/>
        <w:gridCol w:w="990"/>
        <w:gridCol w:w="810"/>
        <w:gridCol w:w="900"/>
      </w:tblGrid>
      <w:tr>
        <w:trPr>
          <w:trHeight w:val="262" w:hRule="atLeast"/>
        </w:trPr>
        <w:tc>
          <w:tcPr>
            <w:tcW w:w="5256" w:type="dxa"/>
            <w:gridSpan w:val="7"/>
            <w:tcBorders>
              <w:top w:val="single" w:sz="8" w:space="0" w:color="000000"/>
              <w:start w:val="single" w:sz="8" w:space="0" w:color="000000"/>
              <w:end w:val="single" w:sz="8" w:space="0" w:color="FFFFFF"/>
            </w:tcBorders>
            <w:shd w:fill="4C4C4C" w:val="clear"/>
          </w:tcPr>
          <w:p>
            <w:pPr>
              <w:pStyle w:val="Normal"/>
              <w:tabs>
                <w:tab w:val="clear" w:pos="720"/>
                <w:tab w:val="right" w:pos="5130" w:leader="none"/>
              </w:tabs>
              <w:spacing w:before="120" w:after="120"/>
              <w:jc w:val="center"/>
              <w:rPr>
                <w:rFonts w:ascii="Arial" w:hAnsi="Arial" w:cs="Arial"/>
                <w:b/>
                <w:color w:val="FFFFFF"/>
                <w:sz w:val="14"/>
                <w:lang w:eastAsia="en-US"/>
              </w:rPr>
            </w:pPr>
            <w:r>
              <w:rPr>
                <w:rFonts w:cs="Arial" w:ascii="Arial" w:hAnsi="Arial"/>
                <w:b/>
                <w:color w:val="FFFFFF"/>
                <w:sz w:val="14"/>
              </w:rPr>
              <w:t>Cumulative Financial Stress Score Performance</w:t>
            </w:r>
          </w:p>
        </w:tc>
        <w:tc>
          <w:tcPr>
            <w:tcW w:w="4500" w:type="dxa"/>
            <w:gridSpan w:val="5"/>
            <w:tcBorders>
              <w:top w:val="single" w:sz="8" w:space="0" w:color="000000"/>
              <w:start w:val="single" w:sz="8" w:space="0" w:color="FFFFFF"/>
              <w:end w:val="single" w:sz="8" w:space="0" w:color="000000"/>
            </w:tcBorders>
            <w:shd w:fill="4C4C4C" w:val="clear"/>
          </w:tcPr>
          <w:p>
            <w:pPr>
              <w:pStyle w:val="Normal"/>
              <w:spacing w:before="120" w:after="120"/>
              <w:jc w:val="center"/>
              <w:rPr>
                <w:rFonts w:ascii="Arial" w:hAnsi="Arial" w:cs="Arial"/>
                <w:b/>
                <w:color w:val="FFFFFF"/>
                <w:sz w:val="14"/>
                <w:lang w:eastAsia="en-US"/>
              </w:rPr>
            </w:pPr>
            <w:r>
              <w:rPr>
                <w:rFonts w:cs="Arial" w:ascii="Arial" w:hAnsi="Arial"/>
                <w:b/>
                <w:color w:val="FFFFFF"/>
                <w:sz w:val="14"/>
              </w:rPr>
              <w:t>Financial Stress Score Performance Within Range</w:t>
            </w:r>
          </w:p>
        </w:tc>
      </w:tr>
      <w:tr>
        <w:trPr/>
        <w:tc>
          <w:tcPr>
            <w:tcW w:w="540" w:type="dxa"/>
            <w:tcBorders>
              <w:start w:val="single" w:sz="8" w:space="0" w:color="000000"/>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Risk</w:t>
              <w:br/>
              <w:t>Class</w:t>
            </w:r>
          </w:p>
        </w:tc>
        <w:tc>
          <w:tcPr>
            <w:tcW w:w="90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Score</w:t>
              <w:br/>
              <w:t>Range</w:t>
            </w:r>
          </w:p>
        </w:tc>
        <w:tc>
          <w:tcPr>
            <w:tcW w:w="810" w:type="dxa"/>
            <w:tcBorders>
              <w:end w:val="single" w:sz="2" w:space="0" w:color="000000"/>
            </w:tcBorders>
            <w:shd w:fill="E5E5E5" w:val="clear"/>
          </w:tcPr>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Percentile Range</w:t>
            </w:r>
          </w:p>
          <w:p>
            <w:pPr>
              <w:pStyle w:val="Normal"/>
              <w:spacing w:before="40" w:after="40"/>
              <w:jc w:val="center"/>
              <w:rPr>
                <w:rFonts w:ascii="Arial" w:hAnsi="Arial" w:cs="Arial"/>
                <w:color w:val="000000"/>
                <w:sz w:val="14"/>
                <w:lang w:eastAsia="en-US"/>
              </w:rPr>
            </w:pPr>
            <w:r>
              <w:rPr>
                <w:rFonts w:cs="Arial" w:ascii="Arial" w:hAnsi="Arial"/>
                <w:b/>
                <w:color w:val="000000"/>
                <w:sz w:val="14"/>
                <w:lang w:eastAsia="en-US"/>
              </w:rPr>
              <w:t>(approx)</w:t>
            </w:r>
          </w:p>
        </w:tc>
        <w:tc>
          <w:tcPr>
            <w:tcW w:w="720" w:type="dxa"/>
            <w:tcBorders>
              <w:end w:val="single" w:sz="2" w:space="0" w:color="000000"/>
            </w:tcBorders>
            <w:shd w:fill="E5E5E5" w:val="clear"/>
          </w:tcPr>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 of Accounts</w:t>
            </w:r>
          </w:p>
          <w:p>
            <w:pPr>
              <w:pStyle w:val="Normal"/>
              <w:spacing w:before="40" w:after="40"/>
              <w:jc w:val="center"/>
              <w:rPr>
                <w:rFonts w:ascii="Arial" w:hAnsi="Arial" w:cs="Arial"/>
                <w:b/>
                <w:color w:val="000000"/>
                <w:sz w:val="14"/>
                <w:lang w:eastAsia="en-US"/>
              </w:rPr>
            </w:pPr>
            <w:r>
              <w:rPr>
                <w:rFonts w:cs="Arial" w:ascii="Arial" w:hAnsi="Arial"/>
                <w:b/>
                <w:color w:val="000000"/>
                <w:sz w:val="14"/>
                <w:lang w:eastAsia="en-US"/>
              </w:rPr>
              <w:t>(approx)</w:t>
            </w:r>
          </w:p>
        </w:tc>
        <w:tc>
          <w:tcPr>
            <w:tcW w:w="63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Failure</w:t>
              <w:br/>
              <w:t>Rate</w:t>
            </w:r>
          </w:p>
        </w:tc>
        <w:tc>
          <w:tcPr>
            <w:tcW w:w="792"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 of</w:t>
              <w:br/>
              <w:t>Failures Identified</w:t>
            </w:r>
          </w:p>
        </w:tc>
        <w:tc>
          <w:tcPr>
            <w:tcW w:w="864"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Good-Bad Ratio</w:t>
            </w:r>
          </w:p>
        </w:tc>
        <w:tc>
          <w:tcPr>
            <w:tcW w:w="81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Score</w:t>
              <w:br/>
              <w:t>Range</w:t>
            </w:r>
          </w:p>
        </w:tc>
        <w:tc>
          <w:tcPr>
            <w:tcW w:w="990" w:type="dxa"/>
            <w:tcBorders>
              <w:bottom w:val="single" w:sz="6" w:space="0" w:color="000000"/>
              <w:end w:val="single" w:sz="2"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Percentile Range</w:t>
              <w:br/>
              <w:t>(approx)</w:t>
            </w:r>
          </w:p>
        </w:tc>
        <w:tc>
          <w:tcPr>
            <w:tcW w:w="990" w:type="dxa"/>
            <w:tcBorders>
              <w:bottom w:val="single" w:sz="6" w:space="0" w:color="000000"/>
              <w:end w:val="single" w:sz="2" w:space="0" w:color="000000"/>
            </w:tcBorders>
            <w:shd w:fill="E5E5E5" w:val="clear"/>
          </w:tcPr>
          <w:p>
            <w:pPr>
              <w:pStyle w:val="BodyText2"/>
              <w:rPr/>
            </w:pPr>
            <w:r>
              <w:rPr/>
              <w:t>% Within Range</w:t>
            </w:r>
          </w:p>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(approx)</w:t>
            </w:r>
          </w:p>
        </w:tc>
        <w:tc>
          <w:tcPr>
            <w:tcW w:w="810" w:type="dxa"/>
            <w:tcBorders>
              <w:bottom w:val="single" w:sz="6" w:space="0" w:color="000000"/>
              <w:end w:val="single" w:sz="8"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Failure</w:t>
              <w:br/>
              <w:t>Rate</w:t>
            </w:r>
          </w:p>
        </w:tc>
        <w:tc>
          <w:tcPr>
            <w:tcW w:w="900" w:type="dxa"/>
            <w:tcBorders>
              <w:bottom w:val="single" w:sz="6" w:space="0" w:color="000000"/>
              <w:end w:val="single" w:sz="8" w:space="0" w:color="000000"/>
            </w:tcBorders>
            <w:shd w:fill="E5E5E5" w:val="clear"/>
          </w:tcPr>
          <w:p>
            <w:pPr>
              <w:pStyle w:val="Normal"/>
              <w:spacing w:before="60" w:after="60"/>
              <w:jc w:val="center"/>
              <w:rPr>
                <w:rFonts w:ascii="Arial" w:hAnsi="Arial" w:cs="Arial"/>
                <w:b/>
                <w:color w:val="000000"/>
                <w:sz w:val="14"/>
                <w:lang w:eastAsia="en-US"/>
              </w:rPr>
            </w:pPr>
            <w:r>
              <w:rPr>
                <w:rFonts w:cs="Arial" w:ascii="Arial" w:hAnsi="Arial"/>
                <w:b/>
                <w:color w:val="000000"/>
                <w:sz w:val="14"/>
                <w:lang w:eastAsia="en-US"/>
              </w:rPr>
              <w:t>% of Failures Identified</w:t>
            </w:r>
          </w:p>
        </w:tc>
      </w:tr>
      <w:tr>
        <w:trPr/>
        <w:tc>
          <w:tcPr>
            <w:tcW w:w="540" w:type="dxa"/>
            <w:tcBorders>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900" w:type="dxa"/>
            <w:tcBorders>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1386-1850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20-100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80%</w:t>
            </w:r>
          </w:p>
        </w:tc>
        <w:tc>
          <w:tcPr>
            <w:tcW w:w="63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0.37%</w:t>
            </w:r>
          </w:p>
        </w:tc>
        <w:tc>
          <w:tcPr>
            <w:tcW w:w="792"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65.5%</w:t>
            </w:r>
          </w:p>
        </w:tc>
        <w:tc>
          <w:tcPr>
            <w:tcW w:w="864"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251</w:t>
            </w:r>
          </w:p>
        </w:tc>
        <w:tc>
          <w:tcPr>
            <w:tcW w:w="81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1386-1850</w:t>
            </w:r>
          </w:p>
        </w:tc>
        <w:tc>
          <w:tcPr>
            <w:tcW w:w="99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20-100</w:t>
            </w:r>
          </w:p>
        </w:tc>
        <w:tc>
          <w:tcPr>
            <w:tcW w:w="990" w:type="dxa"/>
            <w:tcBorders>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80%</w:t>
            </w:r>
          </w:p>
        </w:tc>
        <w:tc>
          <w:tcPr>
            <w:tcW w:w="810" w:type="dxa"/>
            <w:tcBorders>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0.37%</w:t>
            </w:r>
          </w:p>
        </w:tc>
        <w:tc>
          <w:tcPr>
            <w:tcW w:w="900" w:type="dxa"/>
            <w:tcBorders>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34.5%</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1358-1850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90%</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0.52%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50.1%</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191</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1358-1385</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10-19</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1.62%</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15.3%</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1338-1850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96%</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0.62%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27.2%</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161</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1338-1357</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5-9</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6%</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2.65%</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22.9%</w:t>
            </w:r>
          </w:p>
        </w:tc>
      </w:tr>
      <w:tr>
        <w:trPr/>
        <w:tc>
          <w:tcPr>
            <w:tcW w:w="540" w:type="dxa"/>
            <w:tcBorders>
              <w:top w:val="single" w:sz="2" w:space="0" w:color="000000"/>
              <w:start w:val="single" w:sz="8"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4</w:t>
            </w:r>
          </w:p>
        </w:tc>
        <w:tc>
          <w:tcPr>
            <w:tcW w:w="900" w:type="dxa"/>
            <w:tcBorders>
              <w:top w:val="single" w:sz="2" w:space="0" w:color="000000"/>
              <w:bottom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1286-1850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99%</w:t>
            </w:r>
          </w:p>
        </w:tc>
        <w:tc>
          <w:tcPr>
            <w:tcW w:w="63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0.72%</w:t>
            </w:r>
          </w:p>
        </w:tc>
        <w:tc>
          <w:tcPr>
            <w:tcW w:w="792"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11.2%</w:t>
            </w:r>
          </w:p>
        </w:tc>
        <w:tc>
          <w:tcPr>
            <w:tcW w:w="864"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139</w:t>
            </w:r>
          </w:p>
        </w:tc>
        <w:tc>
          <w:tcPr>
            <w:tcW w:w="81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1286-1337</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2-4</w:t>
            </w:r>
          </w:p>
        </w:tc>
        <w:tc>
          <w:tcPr>
            <w:tcW w:w="990" w:type="dxa"/>
            <w:tcBorders>
              <w:top w:val="single" w:sz="2" w:space="0" w:color="000000"/>
              <w:bottom w:val="single" w:sz="2"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3%</w:t>
            </w:r>
          </w:p>
        </w:tc>
        <w:tc>
          <w:tcPr>
            <w:tcW w:w="81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4.25%</w:t>
            </w:r>
          </w:p>
        </w:tc>
        <w:tc>
          <w:tcPr>
            <w:tcW w:w="900" w:type="dxa"/>
            <w:tcBorders>
              <w:top w:val="single" w:sz="2" w:space="0" w:color="000000"/>
              <w:bottom w:val="single" w:sz="2"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16.0%</w:t>
            </w:r>
          </w:p>
        </w:tc>
      </w:tr>
      <w:tr>
        <w:trPr/>
        <w:tc>
          <w:tcPr>
            <w:tcW w:w="540" w:type="dxa"/>
            <w:tcBorders>
              <w:top w:val="single" w:sz="2" w:space="0" w:color="000000"/>
              <w:start w:val="single" w:sz="8"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5</w:t>
            </w:r>
          </w:p>
        </w:tc>
        <w:tc>
          <w:tcPr>
            <w:tcW w:w="900" w:type="dxa"/>
            <w:tcBorders>
              <w:top w:val="single" w:sz="2" w:space="0" w:color="000000"/>
              <w:bottom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1001-1850</w:t>
            </w:r>
          </w:p>
        </w:tc>
        <w:tc>
          <w:tcPr>
            <w:tcW w:w="81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1-100</w:t>
            </w:r>
          </w:p>
        </w:tc>
        <w:tc>
          <w:tcPr>
            <w:tcW w:w="720" w:type="dxa"/>
            <w:tcBorders>
              <w:top w:val="single" w:sz="4" w:space="0" w:color="000000"/>
              <w:start w:val="single" w:sz="4" w:space="0" w:color="000000"/>
              <w:bottom w:val="single" w:sz="4" w:space="0" w:color="000000"/>
              <w:end w:val="single" w:sz="4" w:space="0" w:color="000000"/>
            </w:tcBorders>
            <w:shd w:fill="FFFFFF" w:val="clear"/>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w:t>
            </w:r>
          </w:p>
        </w:tc>
        <w:tc>
          <w:tcPr>
            <w:tcW w:w="63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0.80%</w:t>
            </w:r>
          </w:p>
        </w:tc>
        <w:tc>
          <w:tcPr>
            <w:tcW w:w="792"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0.0%</w:t>
            </w:r>
          </w:p>
        </w:tc>
        <w:tc>
          <w:tcPr>
            <w:tcW w:w="864"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121</w:t>
            </w:r>
          </w:p>
        </w:tc>
        <w:tc>
          <w:tcPr>
            <w:tcW w:w="81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1001-1285</w:t>
            </w:r>
          </w:p>
        </w:tc>
        <w:tc>
          <w:tcPr>
            <w:tcW w:w="99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990" w:type="dxa"/>
            <w:tcBorders>
              <w:top w:val="single" w:sz="2" w:space="0" w:color="000000"/>
              <w:bottom w:val="single" w:sz="8" w:space="0" w:color="000000"/>
              <w:end w:val="single" w:sz="2"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w:t>
            </w:r>
          </w:p>
        </w:tc>
        <w:tc>
          <w:tcPr>
            <w:tcW w:w="810" w:type="dxa"/>
            <w:tcBorders>
              <w:top w:val="single" w:sz="2" w:space="0" w:color="000000"/>
              <w:bottom w:val="single" w:sz="8"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9.07%</w:t>
            </w:r>
          </w:p>
        </w:tc>
        <w:tc>
          <w:tcPr>
            <w:tcW w:w="900" w:type="dxa"/>
            <w:tcBorders>
              <w:top w:val="single" w:sz="2" w:space="0" w:color="000000"/>
              <w:bottom w:val="single" w:sz="8" w:space="0" w:color="000000"/>
              <w:end w:val="single" w:sz="8" w:space="0" w:color="000000"/>
            </w:tcBorders>
          </w:tcPr>
          <w:p>
            <w:pPr>
              <w:pStyle w:val="Normal"/>
              <w:spacing w:before="40" w:after="40"/>
              <w:jc w:val="center"/>
              <w:rPr>
                <w:rFonts w:ascii="Arial" w:hAnsi="Arial" w:cs="Arial"/>
                <w:color w:val="000000"/>
                <w:sz w:val="14"/>
                <w:lang w:eastAsia="en-US"/>
              </w:rPr>
            </w:pPr>
            <w:r>
              <w:rPr>
                <w:rFonts w:cs="Arial" w:ascii="Arial" w:hAnsi="Arial"/>
                <w:color w:val="000000"/>
                <w:sz w:val="14"/>
                <w:lang w:eastAsia="en-US"/>
              </w:rPr>
              <w:t>11.2%</w:t>
            </w:r>
          </w:p>
        </w:tc>
      </w:tr>
    </w:tbl>
    <w:p>
      <w:pPr>
        <w:pStyle w:val="Header"/>
        <w:tabs>
          <w:tab w:val="clear" w:pos="4320"/>
          <w:tab w:val="clear" w:pos="8640"/>
        </w:tabs>
        <w:rPr/>
      </w:pPr>
      <w:r>
        <w:rPr/>
      </w:r>
    </w:p>
    <w:p>
      <w:pPr>
        <w:pStyle w:val="Normal"/>
        <w:numPr>
          <w:ilvl w:val="0"/>
          <w:numId w:val="0"/>
        </w:numPr>
        <w:outlineLvl w:val="0"/>
        <w:rPr>
          <w:rFonts w:ascii="Arial" w:hAnsi="Arial" w:cs="Arial"/>
          <w:b/>
          <w:smallCaps/>
        </w:rPr>
      </w:pPr>
      <w:r>
        <w:rPr>
          <w:rFonts w:cs="Arial" w:ascii="Arial" w:hAnsi="Arial"/>
          <w:b/>
          <w:smallCaps/>
        </w:rPr>
        <w:t>Explanations</w:t>
      </w:r>
    </w:p>
    <w:p>
      <w:pPr>
        <w:pStyle w:val="MemoLine"/>
        <w:spacing w:before="60" w:after="0"/>
        <w:rPr>
          <w:rFonts w:ascii="Arial" w:hAnsi="Arial" w:cs="Arial"/>
          <w:b/>
          <w:smallCaps/>
          <w:sz w:val="16"/>
        </w:rPr>
      </w:pPr>
      <w:r>
        <w:rPr>
          <w:rFonts w:cs="Arial" w:ascii="Arial" w:hAnsi="Arial"/>
          <w:b/>
          <w:smallCaps/>
          <w:sz w:val="16"/>
        </w:rPr>
      </w:r>
    </w:p>
    <w:p>
      <w:pPr>
        <w:pStyle w:val="Heading9"/>
        <w:spacing w:before="0" w:after="120"/>
        <w:ind w:hanging="0" w:start="0"/>
        <w:rPr/>
      </w:pPr>
      <w:r>
        <w:rPr/>
        <w:t>Cumulative Financial Stress Score Performance</w:t>
      </w:r>
    </w:p>
    <w:p>
      <w:pPr>
        <w:pStyle w:val="Normal"/>
        <w:numPr>
          <w:ilvl w:val="0"/>
          <w:numId w:val="5"/>
        </w:numPr>
        <w:tabs>
          <w:tab w:val="clear" w:pos="720"/>
        </w:tabs>
        <w:ind w:hanging="342" w:start="360" w:end="0"/>
        <w:jc w:val="both"/>
        <w:rPr>
          <w:rFonts w:ascii="Arial" w:hAnsi="Arial" w:cs="Arial"/>
          <w:b/>
          <w:sz w:val="18"/>
        </w:rPr>
      </w:pPr>
      <w:r>
        <w:rPr>
          <w:rFonts w:cs="Arial" w:ascii="Arial" w:hAnsi="Arial"/>
          <w:b/>
          <w:sz w:val="18"/>
        </w:rPr>
        <w:t xml:space="preserve">% of Accounts: </w:t>
      </w:r>
      <w:r>
        <w:rPr>
          <w:rFonts w:cs="Arial" w:ascii="Arial" w:hAnsi="Arial"/>
          <w:sz w:val="18"/>
        </w:rPr>
        <w:t xml:space="preserve">To set an approval rate, select the appropriate percentile range that yields the desired approval rate. For example, to develop a credit policy that approves a projected 96% of all customers requires accepting accounts scoring at or above 1338 (or 5-100 percentile). Businesses scoring below the cutoff score (1001 - 1337) are reviewed, declined, etc. </w:t>
      </w:r>
    </w:p>
    <w:p>
      <w:pPr>
        <w:pStyle w:val="Normal"/>
        <w:ind w:start="360" w:end="0"/>
        <w:jc w:val="both"/>
        <w:rPr>
          <w:rFonts w:ascii="Arial" w:hAnsi="Arial" w:cs="Arial"/>
          <w:b/>
          <w:sz w:val="18"/>
        </w:rPr>
      </w:pPr>
      <w:r>
        <w:rPr>
          <w:rFonts w:cs="Arial" w:ascii="Arial" w:hAnsi="Arial"/>
          <w:b/>
          <w:sz w:val="18"/>
        </w:rPr>
      </w:r>
    </w:p>
    <w:p>
      <w:pPr>
        <w:pStyle w:val="Normal"/>
        <w:numPr>
          <w:ilvl w:val="0"/>
          <w:numId w:val="2"/>
        </w:numPr>
        <w:tabs>
          <w:tab w:val="clear" w:pos="720"/>
        </w:tabs>
        <w:ind w:hanging="342" w:start="360" w:end="0"/>
        <w:jc w:val="both"/>
        <w:rPr>
          <w:rFonts w:ascii="Arial" w:hAnsi="Arial" w:cs="Arial"/>
          <w:b/>
          <w:sz w:val="18"/>
        </w:rPr>
      </w:pPr>
      <w:r>
        <w:rPr>
          <w:rFonts w:cs="Arial" w:ascii="Arial" w:hAnsi="Arial"/>
          <w:b/>
          <w:sz w:val="18"/>
        </w:rPr>
        <w:t xml:space="preserve">Failure Rates: </w:t>
      </w:r>
      <w:r>
        <w:rPr>
          <w:rFonts w:cs="Arial" w:ascii="Arial" w:hAnsi="Arial"/>
          <w:sz w:val="18"/>
        </w:rPr>
        <w:t>The failure rate represents those businesses that score between the lowest value in the score range (or percentile) and 1,850 (or 100 percentile). For example, the failure rate for a credit policy which approves all businesses with a score at or above 1,338 (or 5-100 percentile) is expected to be 0.62%.</w:t>
      </w:r>
    </w:p>
    <w:p>
      <w:pPr>
        <w:pStyle w:val="Normal"/>
        <w:tabs>
          <w:tab w:val="clear" w:pos="720"/>
          <w:tab w:val="left" w:pos="360" w:leader="none"/>
        </w:tabs>
        <w:ind w:hanging="342" w:start="360" w:end="0"/>
        <w:jc w:val="both"/>
        <w:rPr>
          <w:rFonts w:ascii="Arial" w:hAnsi="Arial" w:cs="Arial"/>
          <w:b/>
          <w:sz w:val="18"/>
        </w:rPr>
      </w:pPr>
      <w:r>
        <w:rPr>
          <w:rFonts w:cs="Arial" w:ascii="Arial" w:hAnsi="Arial"/>
          <w:b/>
          <w:sz w:val="18"/>
        </w:rPr>
      </w:r>
    </w:p>
    <w:p>
      <w:pPr>
        <w:pStyle w:val="Normal"/>
        <w:numPr>
          <w:ilvl w:val="0"/>
          <w:numId w:val="10"/>
        </w:numPr>
        <w:tabs>
          <w:tab w:val="clear" w:pos="720"/>
        </w:tabs>
        <w:ind w:hanging="342" w:start="360" w:end="0"/>
        <w:jc w:val="both"/>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that score between 1,001 and the cutoff point for the approval rate. For example, approving businesses with a score above 1338 (or 5-100 percentile) is expected to eliminate 27.2% of the bad accounts.</w:t>
      </w:r>
    </w:p>
    <w:p>
      <w:pPr>
        <w:pStyle w:val="Normal"/>
        <w:tabs>
          <w:tab w:val="clear" w:pos="720"/>
          <w:tab w:val="left" w:pos="360" w:leader="none"/>
        </w:tabs>
        <w:ind w:hanging="342" w:start="360" w:end="0"/>
        <w:jc w:val="both"/>
        <w:rPr>
          <w:rFonts w:ascii="Arial" w:hAnsi="Arial" w:cs="Arial"/>
          <w:b/>
          <w:sz w:val="18"/>
        </w:rPr>
      </w:pPr>
      <w:r>
        <w:rPr>
          <w:rFonts w:cs="Arial" w:ascii="Arial" w:hAnsi="Arial"/>
          <w:b/>
          <w:sz w:val="18"/>
        </w:rPr>
      </w:r>
    </w:p>
    <w:p>
      <w:pPr>
        <w:pStyle w:val="Normal"/>
        <w:numPr>
          <w:ilvl w:val="0"/>
          <w:numId w:val="3"/>
        </w:numPr>
        <w:tabs>
          <w:tab w:val="clear" w:pos="720"/>
        </w:tabs>
        <w:ind w:hanging="342" w:start="360" w:end="0"/>
        <w:jc w:val="both"/>
        <w:rPr>
          <w:rFonts w:ascii="Arial" w:hAnsi="Arial" w:cs="Arial"/>
          <w:b/>
          <w:sz w:val="18"/>
        </w:rPr>
      </w:pPr>
      <w:r>
        <w:rPr>
          <w:rFonts w:cs="Arial" w:ascii="Arial" w:hAnsi="Arial"/>
          <w:b/>
          <w:sz w:val="18"/>
        </w:rPr>
        <w:t xml:space="preserve">Good-Bad Ratio (Odds): </w:t>
      </w:r>
      <w:r>
        <w:rPr>
          <w:rFonts w:cs="Arial" w:ascii="Arial" w:hAnsi="Arial"/>
          <w:sz w:val="18"/>
        </w:rPr>
        <w:t>The ratio of “Good” accounts to “Bad” accounts among those businesses that score between the lowest value in the score range and 1,850 (or 100 percentile). For example, a credit policy that approves all accounts scoring at or above 1,338 (or 5-100 percentile) should result in a portfolio with 161 “Good” accounts for every “Bad” account in the portfolio.</w:t>
      </w:r>
    </w:p>
    <w:p>
      <w:pPr>
        <w:pStyle w:val="Normal"/>
        <w:jc w:val="both"/>
        <w:rPr>
          <w:rFonts w:ascii="Arial" w:hAnsi="Arial" w:cs="Arial"/>
          <w:b/>
          <w:sz w:val="18"/>
        </w:rPr>
      </w:pPr>
      <w:r>
        <w:rPr>
          <w:rFonts w:cs="Arial" w:ascii="Arial" w:hAnsi="Arial"/>
          <w:b/>
          <w:sz w:val="18"/>
        </w:rPr>
      </w:r>
    </w:p>
    <w:p>
      <w:pPr>
        <w:pStyle w:val="Heading9"/>
        <w:spacing w:before="0" w:after="120"/>
        <w:ind w:hanging="0" w:start="0"/>
        <w:rPr/>
      </w:pPr>
      <w:r>
        <w:rPr/>
        <w:t>Financial Stress Score Performance Within Range</w:t>
      </w:r>
    </w:p>
    <w:p>
      <w:pPr>
        <w:pStyle w:val="Normal"/>
        <w:numPr>
          <w:ilvl w:val="0"/>
          <w:numId w:val="9"/>
        </w:numPr>
        <w:tabs>
          <w:tab w:val="clear" w:pos="720"/>
        </w:tabs>
        <w:ind w:hanging="342" w:start="360" w:end="0"/>
        <w:jc w:val="both"/>
        <w:rPr>
          <w:rFonts w:ascii="Arial" w:hAnsi="Arial" w:cs="Arial"/>
          <w:b/>
          <w:sz w:val="18"/>
        </w:rPr>
      </w:pPr>
      <w:r>
        <w:rPr>
          <w:rFonts w:cs="Arial" w:ascii="Arial" w:hAnsi="Arial"/>
          <w:b/>
          <w:sz w:val="18"/>
        </w:rPr>
        <w:t xml:space="preserve">Failure Rate within Range: </w:t>
      </w:r>
      <w:r>
        <w:rPr>
          <w:rFonts w:cs="Arial" w:ascii="Arial" w:hAnsi="Arial"/>
          <w:sz w:val="18"/>
        </w:rPr>
        <w:t>The incidence of failure for those businesses that score within the score range. For example, the failure rate for companies scoring between 1,286 and 1,337 (or 2-4 percentile) is expected to be 4.25%.</w:t>
      </w:r>
    </w:p>
    <w:p>
      <w:pPr>
        <w:pStyle w:val="Normal"/>
        <w:ind w:hanging="342" w:start="360" w:end="0"/>
        <w:jc w:val="both"/>
        <w:rPr>
          <w:rFonts w:ascii="Arial" w:hAnsi="Arial" w:cs="Arial"/>
          <w:b/>
          <w:sz w:val="18"/>
        </w:rPr>
      </w:pPr>
      <w:r>
        <w:rPr>
          <w:rFonts w:cs="Arial" w:ascii="Arial" w:hAnsi="Arial"/>
          <w:b/>
          <w:sz w:val="18"/>
        </w:rPr>
      </w:r>
    </w:p>
    <w:p>
      <w:pPr>
        <w:pStyle w:val="Normal"/>
        <w:numPr>
          <w:ilvl w:val="0"/>
          <w:numId w:val="7"/>
        </w:numPr>
        <w:tabs>
          <w:tab w:val="clear" w:pos="720"/>
        </w:tabs>
        <w:ind w:hanging="342" w:start="360" w:end="0"/>
        <w:jc w:val="both"/>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within the score range. For example, 16.0% of failed companies are expected to score between 1,286 and 1,337 (or 2-4  percentile)</w:t>
      </w:r>
    </w:p>
    <w:p>
      <w:pPr>
        <w:pStyle w:val="Normal"/>
        <w:tabs>
          <w:tab w:val="clear" w:pos="720"/>
          <w:tab w:val="left" w:pos="360" w:leader="none"/>
        </w:tabs>
        <w:jc w:val="both"/>
        <w:rPr>
          <w:rFonts w:ascii="Arial" w:hAnsi="Arial" w:cs="Arial"/>
          <w:b/>
          <w:sz w:val="18"/>
        </w:rPr>
      </w:pPr>
      <w:r>
        <w:rPr>
          <w:rFonts w:cs="Arial" w:ascii="Arial" w:hAnsi="Arial"/>
          <w:b/>
          <w:sz w:val="18"/>
        </w:rPr>
      </w:r>
    </w:p>
    <w:p>
      <w:pPr>
        <w:pStyle w:val="BodyText"/>
        <w:ind w:hanging="450" w:start="450" w:end="0"/>
        <w:jc w:val="start"/>
        <w:rPr/>
      </w:pPr>
      <w:r>
        <w:rPr>
          <w:b/>
          <w:i/>
          <w:sz w:val="18"/>
        </w:rPr>
        <w:t>Note:</w:t>
      </w:r>
      <w:r>
        <w:rPr>
          <w:sz w:val="18"/>
        </w:rPr>
        <w:t xml:space="preserve"> Each Financial Stress Score classification has an incidence of financial stress associated with it that is compared to the national average for all companies. The Percentage of Accounts, Percentile Ranges, and Percent within Range are rounded to the nearest whole and are classified as being approximated.</w:t>
      </w:r>
    </w:p>
    <w:p>
      <w:pPr>
        <w:pStyle w:val="BodyText"/>
        <w:ind w:hanging="450" w:start="450" w:end="0"/>
        <w:jc w:val="start"/>
        <w:rPr>
          <w:sz w:val="18"/>
        </w:rPr>
      </w:pPr>
      <w:r>
        <w:rPr>
          <w:sz w:val="18"/>
        </w:rPr>
      </w:r>
    </w:p>
    <w:p>
      <w:pPr>
        <w:pStyle w:val="BodyText"/>
        <w:ind w:hanging="450" w:start="450" w:end="0"/>
        <w:jc w:val="start"/>
        <w:rPr>
          <w:sz w:val="18"/>
        </w:rPr>
      </w:pPr>
      <w:r>
        <w:rPr>
          <w:i/>
          <w:sz w:val="18"/>
        </w:rPr>
        <w:t>This Projected Performance Table is based on a generic model. Performance may vary based on individual customer portfolios.</w:t>
      </w:r>
    </w:p>
    <w:p>
      <w:pPr>
        <w:pStyle w:val="Normal"/>
        <w:rPr>
          <w:sz w:val="16"/>
        </w:rPr>
      </w:pPr>
      <w:r>
        <w:rPr>
          <w:sz w:val="16"/>
        </w:rPr>
      </w:r>
    </w:p>
    <w:p>
      <w:pPr>
        <w:pStyle w:val="Normal"/>
        <w:rPr>
          <w:sz w:val="18"/>
        </w:rPr>
      </w:pPr>
      <w:r>
        <w:rPr>
          <w:sz w:val="18"/>
        </w:rPr>
        <w:t>Revised 2/8/00</w:t>
      </w:r>
      <w:r>
        <w:br w:type="page"/>
      </w:r>
    </w:p>
    <w:p>
      <w:pPr>
        <w:pStyle w:val="Heading"/>
        <w:rPr>
          <w:sz w:val="24"/>
        </w:rPr>
      </w:pPr>
      <w:r>
        <w:rPr>
          <w:rFonts w:cs="Arial" w:ascii="Arial" w:hAnsi="Arial"/>
          <w:sz w:val="24"/>
        </w:rPr>
        <w:t>D&amp;B Financial Stress Score</w:t>
      </w:r>
      <w:r>
        <w:rPr>
          <w:sz w:val="24"/>
        </w:rPr>
        <w:t xml:space="preserve"> – </w:t>
      </w:r>
      <w:r>
        <w:rPr>
          <w:i/>
          <w:sz w:val="24"/>
        </w:rPr>
        <w:t>Detailed</w:t>
      </w:r>
      <w:r>
        <w:rPr>
          <w:sz w:val="24"/>
        </w:rPr>
        <w:t xml:space="preserve"> </w:t>
      </w:r>
      <w:r>
        <w:rPr>
          <w:i/>
          <w:sz w:val="24"/>
        </w:rPr>
        <w:t>Projected Performance Table</w:t>
      </w:r>
    </w:p>
    <w:p>
      <w:pPr>
        <w:pStyle w:val="Normal"/>
        <w:jc w:val="center"/>
        <w:rPr>
          <w:sz w:val="12"/>
        </w:rPr>
      </w:pPr>
      <w:r>
        <w:rPr>
          <w:sz w:val="12"/>
        </w:rPr>
      </w:r>
    </w:p>
    <w:tbl>
      <w:tblPr>
        <w:tblW w:w="9092" w:type="dxa"/>
        <w:jc w:val="start"/>
        <w:tblInd w:w="480" w:type="dxa"/>
        <w:tblLayout w:type="fixed"/>
        <w:tblCellMar>
          <w:top w:w="0" w:type="dxa"/>
          <w:start w:w="30" w:type="dxa"/>
          <w:bottom w:w="0" w:type="dxa"/>
          <w:end w:w="30" w:type="dxa"/>
        </w:tblCellMar>
      </w:tblPr>
      <w:tblGrid>
        <w:gridCol w:w="1042"/>
        <w:gridCol w:w="878"/>
        <w:gridCol w:w="852"/>
        <w:gridCol w:w="858"/>
        <w:gridCol w:w="931"/>
        <w:gridCol w:w="959"/>
        <w:gridCol w:w="898"/>
        <w:gridCol w:w="902"/>
        <w:gridCol w:w="810"/>
        <w:gridCol w:w="961"/>
        <w:gridCol w:w="1"/>
      </w:tblGrid>
      <w:tr>
        <w:trPr/>
        <w:tc>
          <w:tcPr>
            <w:tcW w:w="5520" w:type="dxa"/>
            <w:gridSpan w:val="6"/>
            <w:tcBorders>
              <w:top w:val="single" w:sz="6" w:space="0" w:color="000000"/>
              <w:start w:val="single" w:sz="6" w:space="0" w:color="000000"/>
              <w:end w:val="single" w:sz="8" w:space="0" w:color="FFFFFF"/>
            </w:tcBorders>
            <w:shd w:fill="3F3F3F" w:val="clear"/>
          </w:tcPr>
          <w:p>
            <w:pPr>
              <w:pStyle w:val="Heading4"/>
              <w:spacing w:before="160" w:after="60"/>
              <w:ind w:hanging="0" w:start="0"/>
              <w:jc w:val="center"/>
              <w:rPr>
                <w:rFonts w:ascii="Arial" w:hAnsi="Arial" w:cs="Arial"/>
                <w:color w:val="FFFFFF"/>
              </w:rPr>
            </w:pPr>
            <w:r>
              <w:rPr>
                <w:rFonts w:cs="Arial" w:ascii="Arial" w:hAnsi="Arial"/>
                <w:color w:val="FFFFFF"/>
              </w:rPr>
              <w:t>Cumulative Financial Stress Score Performance</w:t>
            </w:r>
          </w:p>
        </w:tc>
        <w:tc>
          <w:tcPr>
            <w:tcW w:w="3571" w:type="dxa"/>
            <w:gridSpan w:val="4"/>
            <w:tcBorders>
              <w:top w:val="single" w:sz="6" w:space="0" w:color="000000"/>
              <w:start w:val="single" w:sz="8" w:space="0" w:color="FFFFFF"/>
              <w:end w:val="single" w:sz="6" w:space="0" w:color="000000"/>
            </w:tcBorders>
            <w:shd w:fill="3F3F3F" w:val="clear"/>
          </w:tcPr>
          <w:p>
            <w:pPr>
              <w:pStyle w:val="Heading3"/>
              <w:spacing w:before="60" w:after="60"/>
              <w:ind w:hanging="0" w:start="0"/>
              <w:jc w:val="center"/>
              <w:rPr>
                <w:color w:val="FFFFFF"/>
              </w:rPr>
            </w:pPr>
            <w:r>
              <w:rPr>
                <w:color w:val="FFFFFF"/>
              </w:rPr>
              <w:t>Financial Stress Score Performance</w:t>
              <w:br/>
              <w:t>Within Range</w:t>
            </w:r>
          </w:p>
        </w:tc>
      </w:tr>
      <w:tr>
        <w:trPr>
          <w:trHeight w:val="262" w:hRule="atLeast"/>
        </w:trPr>
        <w:tc>
          <w:tcPr>
            <w:tcW w:w="1042" w:type="dxa"/>
            <w:tcBorders>
              <w:top w:val="single" w:sz="6" w:space="0" w:color="000000"/>
              <w:start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b/>
                <w:color w:val="000000"/>
                <w:sz w:val="16"/>
                <w:lang w:eastAsia="en-US"/>
              </w:rPr>
            </w:pPr>
            <w:r>
              <w:rPr>
                <w:rFonts w:cs="Arial" w:ascii="Arial" w:hAnsi="Arial"/>
                <w:b/>
                <w:color w:val="000000"/>
                <w:sz w:val="16"/>
                <w:lang w:eastAsia="en-US"/>
              </w:rPr>
              <w:t>Cumulative Score</w:t>
              <w:br/>
              <w:t>Range</w:t>
            </w:r>
          </w:p>
        </w:tc>
        <w:tc>
          <w:tcPr>
            <w:tcW w:w="87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Percentile Range</w:t>
            </w:r>
          </w:p>
        </w:tc>
        <w:tc>
          <w:tcPr>
            <w:tcW w:w="852"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Approval Rate</w:t>
            </w:r>
          </w:p>
        </w:tc>
        <w:tc>
          <w:tcPr>
            <w:tcW w:w="85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Failure</w:t>
              <w:br/>
              <w:t>Rate</w:t>
            </w:r>
          </w:p>
        </w:tc>
        <w:tc>
          <w:tcPr>
            <w:tcW w:w="931"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 of Failures Identified</w:t>
            </w:r>
          </w:p>
        </w:tc>
        <w:tc>
          <w:tcPr>
            <w:tcW w:w="959" w:type="dxa"/>
            <w:tcBorders>
              <w:top w:val="single" w:sz="6" w:space="0" w:color="000000"/>
              <w:bottom w:val="single" w:sz="6" w:space="0" w:color="000000"/>
              <w:end w:val="single" w:sz="8"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Good-Bad Ratio</w:t>
            </w:r>
          </w:p>
        </w:tc>
        <w:tc>
          <w:tcPr>
            <w:tcW w:w="898"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Marginal Score Range</w:t>
            </w:r>
          </w:p>
        </w:tc>
        <w:tc>
          <w:tcPr>
            <w:tcW w:w="902"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Percentile Range</w:t>
            </w:r>
          </w:p>
        </w:tc>
        <w:tc>
          <w:tcPr>
            <w:tcW w:w="810" w:type="dxa"/>
            <w:tcBorders>
              <w:top w:val="single" w:sz="6" w:space="0" w:color="000000"/>
              <w:bottom w:val="single" w:sz="6" w:space="0" w:color="000000"/>
              <w:end w:val="single" w:sz="2"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Failure</w:t>
              <w:br/>
              <w:t>Rate</w:t>
            </w:r>
          </w:p>
        </w:tc>
        <w:tc>
          <w:tcPr>
            <w:tcW w:w="962" w:type="dxa"/>
            <w:tcBorders>
              <w:top w:val="single" w:sz="6" w:space="0" w:color="000000"/>
              <w:bottom w:val="single" w:sz="6" w:space="0" w:color="000000"/>
              <w:end w:val="single" w:sz="6" w:space="0" w:color="000000"/>
            </w:tcBorders>
            <w:shd w:fill="E5E5E5" w:val="clear"/>
          </w:tcPr>
          <w:p>
            <w:pPr>
              <w:pStyle w:val="Normal"/>
              <w:spacing w:before="60" w:after="60"/>
              <w:jc w:val="center"/>
              <w:rPr>
                <w:rFonts w:ascii="Arial" w:hAnsi="Arial" w:cs="Arial"/>
                <w:color w:val="000000"/>
                <w:sz w:val="16"/>
                <w:lang w:eastAsia="en-US"/>
              </w:rPr>
            </w:pPr>
            <w:r>
              <w:rPr>
                <w:rFonts w:cs="Arial" w:ascii="Arial" w:hAnsi="Arial"/>
                <w:b/>
                <w:color w:val="000000"/>
                <w:sz w:val="16"/>
                <w:lang w:eastAsia="en-US"/>
              </w:rPr>
              <w:t>% of Failures Identified</w:t>
            </w:r>
          </w:p>
        </w:tc>
      </w:tr>
      <w:tr>
        <w:trPr/>
        <w:tc>
          <w:tcPr>
            <w:tcW w:w="1042" w:type="dxa"/>
            <w:tcBorders>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1551-1850</w:t>
            </w:r>
          </w:p>
        </w:tc>
        <w:tc>
          <w:tcPr>
            <w:tcW w:w="87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96-100</w:t>
            </w:r>
          </w:p>
        </w:tc>
        <w:tc>
          <w:tcPr>
            <w:tcW w:w="852"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w:t>
            </w:r>
          </w:p>
        </w:tc>
        <w:tc>
          <w:tcPr>
            <w:tcW w:w="85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0.05%</w:t>
            </w:r>
          </w:p>
        </w:tc>
        <w:tc>
          <w:tcPr>
            <w:tcW w:w="931"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99.8%</w:t>
            </w:r>
          </w:p>
        </w:tc>
        <w:tc>
          <w:tcPr>
            <w:tcW w:w="959" w:type="dxa"/>
            <w:tcBorders>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2088</w:t>
            </w:r>
          </w:p>
        </w:tc>
        <w:tc>
          <w:tcPr>
            <w:tcW w:w="898"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1551-1850</w:t>
            </w:r>
          </w:p>
        </w:tc>
        <w:tc>
          <w:tcPr>
            <w:tcW w:w="902"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96-100</w:t>
            </w:r>
          </w:p>
        </w:tc>
        <w:tc>
          <w:tcPr>
            <w:tcW w:w="810" w:type="dxa"/>
            <w:tcBorders>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0.03%</w:t>
            </w:r>
          </w:p>
        </w:tc>
        <w:tc>
          <w:tcPr>
            <w:tcW w:w="962" w:type="dxa"/>
            <w:tcBorders>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1529-1850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0.07%</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99.4%</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1505</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1529-1550</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91-95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0.06%</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1514-1850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99.0%</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1211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1514-1528</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86-90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0.08%</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0.10%</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98.3%</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1024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1502-1513</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81-85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1492-1850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0.11%</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97.5%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880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1492-1501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76-80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0.13%</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1482-1850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0.13%</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96.5%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771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1482-1491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71-75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0.16%</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1474-1850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0.15%</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95.3%</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691</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1474-1481</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66-70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1465-1850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0.16%</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93.9%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620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1465-1473</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61-65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0.24%</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1457-1850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0.18%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92.2%</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550</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1457-1464</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56-60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0.25%</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1448-1850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0.20%</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90.1%</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499</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1448-1456</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51-55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0.35%</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1440-1850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0.22%</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87.0%</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452</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1440-1447</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46-50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0.53%</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0.25%</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83.9%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404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1429-1439</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41-45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0.48%</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w:t>
            </w:r>
          </w:p>
        </w:tc>
      </w:tr>
      <w:tr>
        <w:trPr/>
        <w:tc>
          <w:tcPr>
            <w:tcW w:w="1042" w:type="dxa"/>
            <w:tcBorders>
              <w:top w:val="single" w:sz="2" w:space="0" w:color="000000"/>
              <w:start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1423-1850</w:t>
            </w:r>
          </w:p>
        </w:tc>
        <w:tc>
          <w:tcPr>
            <w:tcW w:w="87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36-100</w:t>
            </w:r>
          </w:p>
        </w:tc>
        <w:tc>
          <w:tcPr>
            <w:tcW w:w="852"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65%</w:t>
            </w:r>
          </w:p>
        </w:tc>
        <w:tc>
          <w:tcPr>
            <w:tcW w:w="85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0.27%</w:t>
            </w:r>
          </w:p>
        </w:tc>
        <w:tc>
          <w:tcPr>
            <w:tcW w:w="931"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81.3%</w:t>
            </w:r>
          </w:p>
        </w:tc>
        <w:tc>
          <w:tcPr>
            <w:tcW w:w="959" w:type="dxa"/>
            <w:tcBorders>
              <w:top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374</w:t>
            </w:r>
          </w:p>
        </w:tc>
        <w:tc>
          <w:tcPr>
            <w:tcW w:w="898"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1423-1428</w:t>
            </w:r>
          </w:p>
        </w:tc>
        <w:tc>
          <w:tcPr>
            <w:tcW w:w="902"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36-40</w:t>
            </w:r>
          </w:p>
        </w:tc>
        <w:tc>
          <w:tcPr>
            <w:tcW w:w="810" w:type="dxa"/>
            <w:tcBorders>
              <w:top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0.55%</w:t>
            </w:r>
          </w:p>
        </w:tc>
        <w:tc>
          <w:tcPr>
            <w:tcW w:w="962" w:type="dxa"/>
            <w:tcBorders>
              <w:top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2.5%</w:t>
            </w:r>
          </w:p>
        </w:tc>
      </w:tr>
      <w:tr>
        <w:trPr/>
        <w:tc>
          <w:tcPr>
            <w:tcW w:w="1042" w:type="dxa"/>
            <w:tcBorders>
              <w:top w:val="single" w:sz="2" w:space="0" w:color="000000"/>
              <w:start w:val="single" w:sz="6"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1411-1850</w:t>
            </w:r>
          </w:p>
        </w:tc>
        <w:tc>
          <w:tcPr>
            <w:tcW w:w="87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31-100</w:t>
            </w:r>
          </w:p>
        </w:tc>
        <w:tc>
          <w:tcPr>
            <w:tcW w:w="852"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70%</w:t>
            </w:r>
          </w:p>
        </w:tc>
        <w:tc>
          <w:tcPr>
            <w:tcW w:w="85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0.30%</w:t>
            </w:r>
          </w:p>
        </w:tc>
        <w:tc>
          <w:tcPr>
            <w:tcW w:w="931"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76.4%</w:t>
            </w:r>
          </w:p>
        </w:tc>
        <w:tc>
          <w:tcPr>
            <w:tcW w:w="959" w:type="dxa"/>
            <w:tcBorders>
              <w:top w:val="single" w:sz="2" w:space="0" w:color="000000"/>
              <w:bottom w:val="single" w:sz="2" w:space="0" w:color="000000"/>
              <w:end w:val="single" w:sz="8"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331</w:t>
            </w:r>
          </w:p>
        </w:tc>
        <w:tc>
          <w:tcPr>
            <w:tcW w:w="898"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1411-1422</w:t>
            </w:r>
          </w:p>
        </w:tc>
        <w:tc>
          <w:tcPr>
            <w:tcW w:w="902"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31-35</w:t>
            </w:r>
          </w:p>
        </w:tc>
        <w:tc>
          <w:tcPr>
            <w:tcW w:w="810" w:type="dxa"/>
            <w:tcBorders>
              <w:top w:val="single" w:sz="2" w:space="0" w:color="000000"/>
              <w:end w:val="single" w:sz="2"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0.69%</w:t>
            </w:r>
          </w:p>
        </w:tc>
        <w:tc>
          <w:tcPr>
            <w:tcW w:w="962" w:type="dxa"/>
            <w:tcBorders>
              <w:top w:val="single" w:sz="2" w:space="0" w:color="000000"/>
              <w:end w:val="single" w:sz="6" w:space="0" w:color="000000"/>
            </w:tcBorders>
            <w:shd w:fill="FFFFFF"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4.9%</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1399-1850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0.34%</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70.5%</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291</w:t>
            </w:r>
          </w:p>
        </w:tc>
        <w:tc>
          <w:tcPr>
            <w:tcW w:w="898"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1399-1410</w:t>
            </w:r>
          </w:p>
        </w:tc>
        <w:tc>
          <w:tcPr>
            <w:tcW w:w="902"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26-30</w:t>
            </w:r>
          </w:p>
        </w:tc>
        <w:tc>
          <w:tcPr>
            <w:tcW w:w="810" w:type="dxa"/>
            <w:tcBorders>
              <w:top w:val="single" w:sz="2" w:space="0" w:color="000000"/>
              <w:bottom w:val="single" w:sz="2" w:space="0" w:color="000000"/>
              <w:end w:val="single" w:sz="2"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0.88%</w:t>
            </w:r>
          </w:p>
        </w:tc>
        <w:tc>
          <w:tcPr>
            <w:tcW w:w="962" w:type="dxa"/>
            <w:tcBorders>
              <w:top w:val="single" w:sz="2" w:space="0" w:color="000000"/>
              <w:bottom w:val="single" w:sz="2" w:space="0" w:color="000000"/>
              <w:end w:val="single" w:sz="6" w:space="0" w:color="000000"/>
            </w:tcBorders>
            <w:shd w:fill="D8D8D8" w:val="clear"/>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1388-1850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0.38%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65.4%</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264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1388-1398</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21-25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1373-1850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0.44%</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56.7%</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227</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1373-1387</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16-20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1.22%</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8.7%</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1361-1850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90%</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0.48%</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50.1%</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207</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1361-1372</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11-15</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1.71%</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6.6%</w:t>
            </w:r>
          </w:p>
        </w:tc>
      </w:tr>
      <w:tr>
        <w:trPr/>
        <w:tc>
          <w:tcPr>
            <w:tcW w:w="1042" w:type="dxa"/>
            <w:tcBorders>
              <w:top w:val="single" w:sz="2" w:space="0" w:color="000000"/>
              <w:start w:val="single" w:sz="6"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1343-1850</w:t>
            </w:r>
          </w:p>
        </w:tc>
        <w:tc>
          <w:tcPr>
            <w:tcW w:w="87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6-100</w:t>
            </w:r>
          </w:p>
        </w:tc>
        <w:tc>
          <w:tcPr>
            <w:tcW w:w="85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95%</w:t>
            </w:r>
          </w:p>
        </w:tc>
        <w:tc>
          <w:tcPr>
            <w:tcW w:w="85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0.57%</w:t>
            </w:r>
          </w:p>
        </w:tc>
        <w:tc>
          <w:tcPr>
            <w:tcW w:w="931"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35.9%</w:t>
            </w:r>
          </w:p>
        </w:tc>
        <w:tc>
          <w:tcPr>
            <w:tcW w:w="959" w:type="dxa"/>
            <w:tcBorders>
              <w:top w:val="single" w:sz="2" w:space="0" w:color="000000"/>
              <w:bottom w:val="single" w:sz="2"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174</w:t>
            </w:r>
          </w:p>
        </w:tc>
        <w:tc>
          <w:tcPr>
            <w:tcW w:w="898"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1343-1360</w:t>
            </w:r>
          </w:p>
        </w:tc>
        <w:tc>
          <w:tcPr>
            <w:tcW w:w="902"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6-10</w:t>
            </w:r>
          </w:p>
        </w:tc>
        <w:tc>
          <w:tcPr>
            <w:tcW w:w="810" w:type="dxa"/>
            <w:tcBorders>
              <w:top w:val="single" w:sz="2" w:space="0" w:color="000000"/>
              <w:bottom w:val="single" w:sz="2"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2.09%</w:t>
            </w:r>
          </w:p>
        </w:tc>
        <w:tc>
          <w:tcPr>
            <w:tcW w:w="962" w:type="dxa"/>
            <w:tcBorders>
              <w:top w:val="single" w:sz="2" w:space="0" w:color="000000"/>
              <w:bottom w:val="single" w:sz="2"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14.1%</w:t>
            </w:r>
          </w:p>
        </w:tc>
      </w:tr>
      <w:tr>
        <w:trPr/>
        <w:tc>
          <w:tcPr>
            <w:tcW w:w="1042" w:type="dxa"/>
            <w:tcBorders>
              <w:top w:val="single" w:sz="2" w:space="0" w:color="000000"/>
              <w:start w:val="single" w:sz="6"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1001-1850</w:t>
            </w:r>
          </w:p>
        </w:tc>
        <w:tc>
          <w:tcPr>
            <w:tcW w:w="87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1-100</w:t>
            </w:r>
          </w:p>
        </w:tc>
        <w:tc>
          <w:tcPr>
            <w:tcW w:w="852"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w:t>
            </w:r>
          </w:p>
        </w:tc>
        <w:tc>
          <w:tcPr>
            <w:tcW w:w="85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0.80%</w:t>
            </w:r>
          </w:p>
        </w:tc>
        <w:tc>
          <w:tcPr>
            <w:tcW w:w="931"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0.0%</w:t>
            </w:r>
          </w:p>
        </w:tc>
        <w:tc>
          <w:tcPr>
            <w:tcW w:w="959" w:type="dxa"/>
            <w:tcBorders>
              <w:top w:val="single" w:sz="2" w:space="0" w:color="000000"/>
              <w:bottom w:val="single" w:sz="6" w:space="0" w:color="000000"/>
              <w:end w:val="single" w:sz="8"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121</w:t>
            </w:r>
          </w:p>
        </w:tc>
        <w:tc>
          <w:tcPr>
            <w:tcW w:w="898"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1001-1342</w:t>
            </w:r>
          </w:p>
        </w:tc>
        <w:tc>
          <w:tcPr>
            <w:tcW w:w="902"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1-5</w:t>
            </w:r>
          </w:p>
        </w:tc>
        <w:tc>
          <w:tcPr>
            <w:tcW w:w="810" w:type="dxa"/>
            <w:tcBorders>
              <w:top w:val="single" w:sz="2" w:space="0" w:color="000000"/>
              <w:bottom w:val="single" w:sz="6" w:space="0" w:color="000000"/>
              <w:end w:val="single" w:sz="2"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4.53%</w:t>
            </w:r>
          </w:p>
        </w:tc>
        <w:tc>
          <w:tcPr>
            <w:tcW w:w="962" w:type="dxa"/>
            <w:tcBorders>
              <w:top w:val="single" w:sz="2" w:space="0" w:color="000000"/>
              <w:bottom w:val="single" w:sz="6" w:space="0" w:color="000000"/>
              <w:end w:val="single" w:sz="6" w:space="0" w:color="000000"/>
            </w:tcBorders>
          </w:tcPr>
          <w:p>
            <w:pPr>
              <w:pStyle w:val="Normal"/>
              <w:spacing w:before="20" w:after="20"/>
              <w:jc w:val="center"/>
              <w:rPr>
                <w:rFonts w:ascii="Arial" w:hAnsi="Arial" w:cs="Arial"/>
                <w:color w:val="000000"/>
                <w:sz w:val="16"/>
                <w:lang w:eastAsia="en-US"/>
              </w:rPr>
            </w:pPr>
            <w:r>
              <w:rPr>
                <w:rFonts w:cs="Arial" w:ascii="Arial" w:hAnsi="Arial"/>
                <w:color w:val="000000"/>
                <w:sz w:val="16"/>
                <w:lang w:eastAsia="en-US"/>
              </w:rPr>
              <w:t>35.9%</w:t>
            </w:r>
          </w:p>
        </w:tc>
      </w:tr>
    </w:tbl>
    <w:p>
      <w:pPr>
        <w:pStyle w:val="Heading1"/>
        <w:spacing w:before="120" w:after="120"/>
        <w:ind w:hanging="0" w:start="0"/>
        <w:rPr>
          <w:i/>
          <w:i/>
          <w:sz w:val="24"/>
        </w:rPr>
      </w:pPr>
      <w:r>
        <w:rPr>
          <w:i/>
          <w:sz w:val="24"/>
        </w:rPr>
        <w:t>E</w:t>
      </w:r>
      <w:r>
        <w:rPr>
          <w:i/>
          <w:smallCaps/>
          <w:sz w:val="24"/>
        </w:rPr>
        <w:t>xplanations</w:t>
      </w:r>
    </w:p>
    <w:p>
      <w:pPr>
        <w:pStyle w:val="Heading2"/>
        <w:pBdr>
          <w:bottom w:val="single" w:sz="2" w:space="1" w:color="000000"/>
        </w:pBdr>
        <w:spacing w:before="0" w:after="60"/>
        <w:ind w:hanging="0" w:start="0" w:end="-72"/>
        <w:rPr>
          <w:sz w:val="22"/>
        </w:rPr>
      </w:pPr>
      <w:r>
        <w:rPr>
          <w:sz w:val="22"/>
        </w:rPr>
        <w:t>Cumulative Financial Stress Score Performance</w:t>
      </w:r>
    </w:p>
    <w:p>
      <w:pPr>
        <w:pStyle w:val="Normal"/>
        <w:ind w:end="-72"/>
        <w:rPr>
          <w:rFonts w:ascii="Arial" w:hAnsi="Arial" w:cs="Arial"/>
          <w:sz w:val="10"/>
        </w:rPr>
      </w:pPr>
      <w:r>
        <w:rPr>
          <w:rFonts w:cs="Arial" w:ascii="Arial" w:hAnsi="Arial"/>
          <w:sz w:val="10"/>
        </w:rPr>
      </w:r>
    </w:p>
    <w:p>
      <w:pPr>
        <w:pStyle w:val="Normal"/>
        <w:numPr>
          <w:ilvl w:val="0"/>
          <w:numId w:val="6"/>
        </w:numPr>
        <w:tabs>
          <w:tab w:val="clear" w:pos="720"/>
        </w:tabs>
        <w:ind w:hanging="342" w:start="360" w:end="-72"/>
        <w:jc w:val="both"/>
        <w:rPr>
          <w:rFonts w:ascii="Arial" w:hAnsi="Arial" w:cs="Arial"/>
          <w:b/>
          <w:sz w:val="14"/>
        </w:rPr>
      </w:pPr>
      <w:r>
        <w:rPr>
          <w:rFonts w:cs="Arial" w:ascii="Arial" w:hAnsi="Arial"/>
          <w:b/>
          <w:sz w:val="18"/>
        </w:rPr>
        <w:t xml:space="preserve">Approval Rate: </w:t>
      </w:r>
      <w:r>
        <w:rPr>
          <w:rFonts w:cs="Arial" w:ascii="Arial" w:hAnsi="Arial"/>
          <w:sz w:val="18"/>
        </w:rPr>
        <w:t xml:space="preserve">To set an approval rate, select the appropriate projected score or percentile cutoff that yields the desired approval rate. Approved businesses are companies scoring between the lowest value in the score range (or percentile) and 1850 (or 100 percentile). For example, a credit policy, which approves 70% of all accounts, requires accepting accounts between 1411-1850 (or 31-100 percentile). Accounts scoring  below the cutoff (1001 - 1410 ) are reviewed, declined, etc. </w:t>
      </w:r>
    </w:p>
    <w:p>
      <w:pPr>
        <w:pStyle w:val="Normal"/>
        <w:ind w:start="360" w:end="-72"/>
        <w:jc w:val="both"/>
        <w:rPr>
          <w:rFonts w:ascii="Arial" w:hAnsi="Arial" w:cs="Arial"/>
          <w:b/>
          <w:sz w:val="14"/>
        </w:rPr>
      </w:pPr>
      <w:r>
        <w:rPr>
          <w:rFonts w:cs="Arial" w:ascii="Arial" w:hAnsi="Arial"/>
          <w:b/>
          <w:sz w:val="14"/>
        </w:rPr>
      </w:r>
    </w:p>
    <w:p>
      <w:pPr>
        <w:pStyle w:val="Normal"/>
        <w:numPr>
          <w:ilvl w:val="0"/>
          <w:numId w:val="6"/>
        </w:numPr>
        <w:tabs>
          <w:tab w:val="clear" w:pos="720"/>
        </w:tabs>
        <w:ind w:hanging="342" w:start="360" w:end="-72"/>
        <w:jc w:val="both"/>
        <w:rPr>
          <w:rFonts w:ascii="Arial" w:hAnsi="Arial" w:cs="Arial"/>
          <w:b/>
          <w:sz w:val="18"/>
        </w:rPr>
      </w:pPr>
      <w:r>
        <w:rPr>
          <w:rFonts w:cs="Arial" w:ascii="Arial" w:hAnsi="Arial"/>
          <w:b/>
          <w:sz w:val="18"/>
        </w:rPr>
        <w:t xml:space="preserve">Failure Rate: </w:t>
      </w:r>
      <w:r>
        <w:rPr>
          <w:rFonts w:cs="Arial" w:ascii="Arial" w:hAnsi="Arial"/>
          <w:sz w:val="18"/>
        </w:rPr>
        <w:t xml:space="preserve">The failure rate represents those businesses that score between the lowest value in the score range and 1850. For example, the failure rate for a credit policy which approves all businesses with a score at or above 1411 (or 31-100 percentile) is expected to be 0.30%. </w:t>
      </w:r>
    </w:p>
    <w:p>
      <w:pPr>
        <w:pStyle w:val="Normal"/>
        <w:ind w:start="360" w:end="-72"/>
        <w:jc w:val="both"/>
        <w:rPr>
          <w:rFonts w:ascii="Arial" w:hAnsi="Arial" w:cs="Arial"/>
          <w:b/>
          <w:sz w:val="14"/>
        </w:rPr>
      </w:pPr>
      <w:r>
        <w:rPr>
          <w:rFonts w:cs="Arial" w:ascii="Arial" w:hAnsi="Arial"/>
          <w:b/>
          <w:sz w:val="14"/>
        </w:rPr>
      </w:r>
    </w:p>
    <w:p>
      <w:pPr>
        <w:pStyle w:val="Normal"/>
        <w:numPr>
          <w:ilvl w:val="0"/>
          <w:numId w:val="6"/>
        </w:numPr>
        <w:tabs>
          <w:tab w:val="clear" w:pos="720"/>
        </w:tabs>
        <w:ind w:hanging="342" w:start="360" w:end="-72"/>
        <w:jc w:val="both"/>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that score between 1,001 and the cutoff point for the approval rate. For example, approving businesses with a score above 1411 (31-100 percentile) is expected to eliminate 76.4% of the bad accounts.</w:t>
      </w:r>
    </w:p>
    <w:p>
      <w:pPr>
        <w:pStyle w:val="Normal"/>
        <w:ind w:start="360" w:end="-72"/>
        <w:jc w:val="both"/>
        <w:rPr>
          <w:rFonts w:ascii="Arial" w:hAnsi="Arial" w:cs="Arial"/>
          <w:b/>
          <w:sz w:val="14"/>
        </w:rPr>
      </w:pPr>
      <w:r>
        <w:rPr>
          <w:rFonts w:cs="Arial" w:ascii="Arial" w:hAnsi="Arial"/>
          <w:b/>
          <w:sz w:val="14"/>
        </w:rPr>
      </w:r>
    </w:p>
    <w:p>
      <w:pPr>
        <w:pStyle w:val="Normal"/>
        <w:numPr>
          <w:ilvl w:val="0"/>
          <w:numId w:val="6"/>
        </w:numPr>
        <w:tabs>
          <w:tab w:val="clear" w:pos="720"/>
        </w:tabs>
        <w:ind w:hanging="342" w:start="360" w:end="-72"/>
        <w:jc w:val="both"/>
        <w:rPr>
          <w:rFonts w:ascii="Arial" w:hAnsi="Arial" w:cs="Arial"/>
          <w:b/>
          <w:sz w:val="18"/>
        </w:rPr>
      </w:pPr>
      <w:r>
        <w:rPr>
          <w:rFonts w:cs="Arial" w:ascii="Arial" w:hAnsi="Arial"/>
          <w:b/>
          <w:sz w:val="18"/>
        </w:rPr>
        <w:t xml:space="preserve">Good-Bad Ratio (Odds): </w:t>
      </w:r>
      <w:r>
        <w:rPr>
          <w:rFonts w:cs="Arial" w:ascii="Arial" w:hAnsi="Arial"/>
          <w:sz w:val="18"/>
        </w:rPr>
        <w:t>The ratio of “Good” accounts to “Bad” accounts among those businesses that score between the lowest value in the score range and 1850 (or 100 percentile). For example, a credit policy which approves all accounts scoring at or above 1411 (or 31-100 percentile) should result in a portfolio with 331 “Good” accounts for every “Bad” account in the portfolio.</w:t>
      </w:r>
    </w:p>
    <w:p>
      <w:pPr>
        <w:pStyle w:val="Heading2"/>
        <w:pBdr>
          <w:bottom w:val="single" w:sz="4" w:space="1" w:color="000000"/>
        </w:pBdr>
        <w:ind w:hanging="0" w:start="0" w:end="-72"/>
        <w:rPr>
          <w:sz w:val="22"/>
        </w:rPr>
      </w:pPr>
      <w:r>
        <w:rPr>
          <w:sz w:val="22"/>
        </w:rPr>
        <w:t>Financial Stress Score Performance Within Range</w:t>
      </w:r>
    </w:p>
    <w:p>
      <w:pPr>
        <w:pStyle w:val="Normal"/>
        <w:ind w:end="-72"/>
        <w:rPr>
          <w:rFonts w:ascii="Arial" w:hAnsi="Arial" w:cs="Arial"/>
          <w:b/>
          <w:sz w:val="12"/>
        </w:rPr>
      </w:pPr>
      <w:r>
        <w:rPr>
          <w:rFonts w:cs="Arial" w:ascii="Arial" w:hAnsi="Arial"/>
          <w:b/>
          <w:sz w:val="12"/>
        </w:rPr>
      </w:r>
    </w:p>
    <w:p>
      <w:pPr>
        <w:pStyle w:val="Normal"/>
        <w:numPr>
          <w:ilvl w:val="0"/>
          <w:numId w:val="8"/>
        </w:numPr>
        <w:tabs>
          <w:tab w:val="clear" w:pos="720"/>
        </w:tabs>
        <w:ind w:hanging="342" w:start="360" w:end="-72"/>
        <w:jc w:val="both"/>
        <w:rPr>
          <w:rFonts w:ascii="Arial" w:hAnsi="Arial" w:cs="Arial"/>
          <w:b/>
          <w:sz w:val="18"/>
        </w:rPr>
      </w:pPr>
      <w:r>
        <w:rPr>
          <w:rFonts w:cs="Arial" w:ascii="Arial" w:hAnsi="Arial"/>
          <w:b/>
          <w:sz w:val="18"/>
        </w:rPr>
        <w:t xml:space="preserve">Failure Rate: </w:t>
      </w:r>
      <w:r>
        <w:rPr>
          <w:rFonts w:cs="Arial" w:ascii="Arial" w:hAnsi="Arial"/>
          <w:sz w:val="18"/>
        </w:rPr>
        <w:t>The incidence of failure for those businesses that score within the score range. For example, the failure rate for companies scoring between 1399 and 1410 (26-30 percentile) is expected to be 0.88%.</w:t>
      </w:r>
    </w:p>
    <w:p>
      <w:pPr>
        <w:pStyle w:val="Normal"/>
        <w:ind w:start="360" w:end="-72"/>
        <w:jc w:val="both"/>
        <w:rPr>
          <w:rFonts w:ascii="Arial" w:hAnsi="Arial" w:cs="Arial"/>
          <w:b/>
          <w:sz w:val="12"/>
        </w:rPr>
      </w:pPr>
      <w:r>
        <w:rPr>
          <w:rFonts w:cs="Arial" w:ascii="Arial" w:hAnsi="Arial"/>
          <w:b/>
          <w:sz w:val="12"/>
        </w:rPr>
      </w:r>
    </w:p>
    <w:p>
      <w:pPr>
        <w:pStyle w:val="Normal"/>
        <w:numPr>
          <w:ilvl w:val="0"/>
          <w:numId w:val="4"/>
        </w:numPr>
        <w:tabs>
          <w:tab w:val="clear" w:pos="720"/>
        </w:tabs>
        <w:ind w:hanging="342" w:start="360" w:end="-72"/>
        <w:jc w:val="both"/>
        <w:rPr>
          <w:rFonts w:ascii="Arial" w:hAnsi="Arial" w:cs="Arial"/>
          <w:b/>
          <w:sz w:val="18"/>
        </w:rPr>
      </w:pPr>
      <w:r>
        <w:rPr>
          <w:rFonts w:cs="Arial" w:ascii="Arial" w:hAnsi="Arial"/>
          <w:b/>
          <w:sz w:val="18"/>
        </w:rPr>
        <w:t xml:space="preserve">% of Bads Identified: </w:t>
      </w:r>
      <w:r>
        <w:rPr>
          <w:rFonts w:cs="Arial" w:ascii="Arial" w:hAnsi="Arial"/>
          <w:sz w:val="18"/>
        </w:rPr>
        <w:t>The percentage of total failed businesses within the score range. For example, 6.0% of all failed companies are expected to score between 1399 and 1410 (26-30 percentile).</w:t>
      </w:r>
    </w:p>
    <w:p>
      <w:pPr>
        <w:pStyle w:val="BodyText"/>
        <w:spacing w:before="120" w:after="120"/>
        <w:ind w:hanging="446" w:start="446" w:end="-72"/>
        <w:rPr/>
      </w:pPr>
      <w:r>
        <w:rPr>
          <w:b/>
          <w:i/>
          <w:sz w:val="18"/>
        </w:rPr>
        <w:t>Note:</w:t>
      </w:r>
      <w:r>
        <w:rPr>
          <w:i/>
          <w:sz w:val="18"/>
        </w:rPr>
        <w:t xml:space="preserve"> Each financial stress score classification has an incidence of financial stress associated with it that is compared to the national average for all companies. The Percentile Ranges are rounded to the nearest whole and are classified as being approximated.</w:t>
      </w:r>
    </w:p>
    <w:p>
      <w:pPr>
        <w:pStyle w:val="BodyText"/>
        <w:ind w:hanging="450" w:start="450" w:end="-72"/>
        <w:jc w:val="start"/>
        <w:rPr>
          <w:i/>
          <w:i/>
          <w:sz w:val="18"/>
        </w:rPr>
      </w:pPr>
      <w:r>
        <w:rPr>
          <w:i/>
          <w:sz w:val="18"/>
        </w:rPr>
        <w:t>This Projected Performance Table is based on a generic model. Performance may vary based on individual customer portfolios.</w:t>
      </w:r>
    </w:p>
    <w:p>
      <w:pPr>
        <w:pStyle w:val="Normal"/>
        <w:ind w:end="-360"/>
        <w:rPr>
          <w:i/>
          <w:i/>
          <w:sz w:val="16"/>
        </w:rPr>
      </w:pPr>
      <w:r>
        <w:rPr>
          <w:i/>
          <w:sz w:val="16"/>
        </w:rPr>
      </w:r>
    </w:p>
    <w:p>
      <w:pPr>
        <w:pStyle w:val="Normal"/>
        <w:rPr>
          <w:rFonts w:ascii="Arial" w:hAnsi="Arial" w:cs="Arial"/>
          <w:b/>
          <w:i/>
          <w:i/>
          <w:sz w:val="14"/>
        </w:rPr>
      </w:pPr>
      <w:r>
        <w:rPr>
          <w:rFonts w:cs="Arial" w:ascii="Arial" w:hAnsi="Arial"/>
          <w:b/>
          <w:i/>
          <w:sz w:val="14"/>
        </w:rPr>
        <w:t>2/8/00</w:t>
      </w:r>
    </w:p>
    <w:sectPr>
      <w:headerReference w:type="default" r:id="rId2"/>
      <w:footerReference w:type="default" r:id="rId3"/>
      <w:type w:val="nextPage"/>
      <w:pgSz w:w="12240" w:h="15840"/>
      <w:pgMar w:left="1296" w:right="1296" w:gutter="0" w:header="720" w:top="907" w:footer="49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8"/>
      </w:rPr>
    </w:pPr>
    <w:r>
      <mc:AlternateContent>
        <mc:Choice Requires="wpg">
          <w:drawing>
            <wp:anchor behindDoc="1" distT="0" distB="0" distL="114935" distR="114935" simplePos="0" locked="0" layoutInCell="1" allowOverlap="1" relativeHeight="3">
              <wp:simplePos x="0" y="0"/>
              <wp:positionH relativeFrom="column">
                <wp:posOffset>5313680</wp:posOffset>
              </wp:positionH>
              <wp:positionV relativeFrom="paragraph">
                <wp:posOffset>-60325</wp:posOffset>
              </wp:positionV>
              <wp:extent cx="1059815" cy="311150"/>
              <wp:effectExtent l="12700" t="12700" r="12700" b="12700"/>
              <wp:wrapNone/>
              <wp:docPr id="1" name=""/>
              <a:graphic xmlns:a="http://schemas.openxmlformats.org/drawingml/2006/main">
                <a:graphicData uri="http://schemas.microsoft.com/office/word/2010/wordprocessingGroup">
                  <wpg:wgp>
                    <wpg:cNvGrpSpPr/>
                    <wpg:grpSpPr>
                      <a:xfrm>
                        <a:off x="0" y="0"/>
                        <a:ext cx="1059840" cy="311040"/>
                        <a:chOff x="0" y="0"/>
                        <a:chExt cx="1059840" cy="311040"/>
                      </a:xfrm>
                    </wpg:grpSpPr>
                    <pic:pic xmlns:pic="http://schemas.openxmlformats.org/drawingml/2006/picture">
                      <pic:nvPicPr>
                        <pic:cNvPr id="2" name="" descr=""/>
                        <pic:cNvPicPr/>
                      </pic:nvPicPr>
                      <pic:blipFill>
                        <a:blip r:embed="rId1"/>
                        <a:srcRect l="58537" t="40376" r="158" b="0"/>
                        <a:stretch/>
                      </pic:blipFill>
                      <pic:spPr>
                        <a:xfrm>
                          <a:off x="0" y="0"/>
                          <a:ext cx="399240" cy="198000"/>
                        </a:xfrm>
                        <a:prstGeom prst="rect">
                          <a:avLst/>
                        </a:prstGeom>
                        <a:noFill/>
                        <a:ln w="12600">
                          <a:solidFill>
                            <a:srgbClr val="ffffff"/>
                          </a:solidFill>
                          <a:miter/>
                        </a:ln>
                      </pic:spPr>
                    </pic:pic>
                    <pic:pic xmlns:pic="http://schemas.openxmlformats.org/drawingml/2006/picture">
                      <pic:nvPicPr>
                        <pic:cNvPr id="3" name="" descr=""/>
                        <pic:cNvPicPr/>
                      </pic:nvPicPr>
                      <pic:blipFill>
                        <a:blip r:embed="rId2"/>
                        <a:srcRect l="0" t="0" r="12005" b="63115"/>
                        <a:stretch/>
                      </pic:blipFill>
                      <pic:spPr>
                        <a:xfrm>
                          <a:off x="169560" y="187200"/>
                          <a:ext cx="890280" cy="123840"/>
                        </a:xfrm>
                        <a:prstGeom prst="rect">
                          <a:avLst/>
                        </a:prstGeom>
                        <a:noFill/>
                        <a:ln w="12600">
                          <a:solidFill>
                            <a:srgbClr val="ffffff"/>
                          </a:solidFill>
                          <a:miter/>
                        </a:ln>
                      </pic:spPr>
                    </pic:pic>
                  </wpg:wgp>
                </a:graphicData>
              </a:graphic>
            </wp:anchor>
          </w:drawing>
        </mc:Choice>
        <mc:Fallback>
          <w:pict>
            <v:group id="shape_0" style="position:absolute;margin-left:418.4pt;margin-top:-4.75pt;width:83.45pt;height:24.45pt" coordorigin="8368,-95" coordsize="1669,4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t" o:allowincell="f" style="position:absolute;left:8368;top:-95;width:628;height:311;mso-wrap-style:none;v-text-anchor:middle" type="_x0000_t75">
                <v:imagedata r:id="rId3" o:detectmouseclick="t"/>
                <v:stroke color="white" weight="12600" joinstyle="miter" endcap="flat"/>
                <w10:wrap type="none"/>
              </v:shape>
              <v:shape id="shape_0" stroked="t" o:allowincell="f" style="position:absolute;left:8635;top:200;width:1401;height:194;mso-wrap-style:none;v-text-anchor:middle" type="_x0000_t75">
                <v:imagedata r:id="rId4" o:detectmouseclick="t"/>
                <v:stroke color="white" weight="12600" joinstyle="miter" endcap="flat"/>
                <w10:wrap type="none"/>
              </v:shape>
            </v:group>
          </w:pict>
        </mc:Fallback>
      </mc:AlternateContent>
    </w:r>
    <w:r>
      <w:rPr>
        <w:i/>
        <w:sz w:val="18"/>
      </w:rPr>
      <w:t>Copyright 2000, Dun &amp; Bradstreet, Inc.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0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810"/>
        </w:tabs>
        <w:ind w:start="792" w:hanging="342"/>
      </w:pPr>
      <w:rPr>
        <w:rFonts w:ascii="Symbol" w:hAnsi="Symbol" w:cs="Symbol" w:hint="default"/>
      </w:rPr>
    </w:lvl>
  </w:abstractNum>
  <w:abstractNum w:abstractNumId="3">
    <w:lvl w:ilvl="0">
      <w:start w:val="1"/>
      <w:numFmt w:val="bullet"/>
      <w:lvlText w:val=""/>
      <w:lvlJc w:val="start"/>
      <w:pPr>
        <w:tabs>
          <w:tab w:val="num" w:pos="810"/>
        </w:tabs>
        <w:ind w:start="792" w:hanging="342"/>
      </w:pPr>
      <w:rPr>
        <w:rFonts w:ascii="Symbol" w:hAnsi="Symbol" w:cs="Symbol" w:hint="default"/>
      </w:rPr>
    </w:lvl>
  </w:abstractNum>
  <w:abstractNum w:abstractNumId="4">
    <w:lvl w:ilvl="0">
      <w:start w:val="1"/>
      <w:numFmt w:val="bullet"/>
      <w:lvlText w:val=""/>
      <w:lvlJc w:val="start"/>
      <w:pPr>
        <w:tabs>
          <w:tab w:val="num" w:pos="810"/>
        </w:tabs>
        <w:ind w:start="792" w:hanging="342"/>
      </w:pPr>
      <w:rPr>
        <w:rFonts w:ascii="Symbol" w:hAnsi="Symbol" w:cs="Symbol" w:hint="default"/>
      </w:rPr>
    </w:lvl>
  </w:abstractNum>
  <w:abstractNum w:abstractNumId="5">
    <w:lvl w:ilvl="0">
      <w:start w:val="1"/>
      <w:numFmt w:val="bullet"/>
      <w:lvlText w:val=""/>
      <w:lvlJc w:val="start"/>
      <w:pPr>
        <w:tabs>
          <w:tab w:val="num" w:pos="810"/>
        </w:tabs>
        <w:ind w:start="792" w:hanging="342"/>
      </w:pPr>
      <w:rPr>
        <w:rFonts w:ascii="Symbol" w:hAnsi="Symbol" w:cs="Symbol" w:hint="default"/>
      </w:rPr>
    </w:lvl>
  </w:abstractNum>
  <w:abstractNum w:abstractNumId="6">
    <w:lvl w:ilvl="0">
      <w:start w:val="1"/>
      <w:numFmt w:val="bullet"/>
      <w:lvlText w:val=""/>
      <w:lvlJc w:val="start"/>
      <w:pPr>
        <w:tabs>
          <w:tab w:val="num" w:pos="810"/>
        </w:tabs>
        <w:ind w:start="792" w:hanging="342"/>
      </w:pPr>
      <w:rPr>
        <w:rFonts w:ascii="Symbol" w:hAnsi="Symbol" w:cs="Symbol" w:hint="default"/>
      </w:rPr>
    </w:lvl>
  </w:abstractNum>
  <w:abstractNum w:abstractNumId="7">
    <w:lvl w:ilvl="0">
      <w:start w:val="1"/>
      <w:numFmt w:val="bullet"/>
      <w:lvlText w:val=""/>
      <w:lvlJc w:val="start"/>
      <w:pPr>
        <w:tabs>
          <w:tab w:val="num" w:pos="810"/>
        </w:tabs>
        <w:ind w:start="792" w:hanging="342"/>
      </w:pPr>
      <w:rPr>
        <w:rFonts w:ascii="Symbol" w:hAnsi="Symbol" w:cs="Symbol" w:hint="default"/>
      </w:rPr>
    </w:lvl>
  </w:abstractNum>
  <w:abstractNum w:abstractNumId="8">
    <w:lvl w:ilvl="0">
      <w:start w:val="1"/>
      <w:numFmt w:val="bullet"/>
      <w:lvlText w:val=""/>
      <w:lvlJc w:val="start"/>
      <w:pPr>
        <w:tabs>
          <w:tab w:val="num" w:pos="810"/>
        </w:tabs>
        <w:ind w:start="792" w:hanging="342"/>
      </w:pPr>
      <w:rPr>
        <w:rFonts w:ascii="Symbol" w:hAnsi="Symbol" w:cs="Symbol" w:hint="default"/>
      </w:rPr>
    </w:lvl>
  </w:abstractNum>
  <w:abstractNum w:abstractNumId="9">
    <w:lvl w:ilvl="0">
      <w:start w:val="1"/>
      <w:numFmt w:val="bullet"/>
      <w:lvlText w:val=""/>
      <w:lvlJc w:val="start"/>
      <w:pPr>
        <w:tabs>
          <w:tab w:val="num" w:pos="810"/>
        </w:tabs>
        <w:ind w:start="792" w:hanging="342"/>
      </w:pPr>
      <w:rPr>
        <w:rFonts w:ascii="Symbol" w:hAnsi="Symbol" w:cs="Symbol" w:hint="default"/>
      </w:rPr>
    </w:lvl>
  </w:abstractNum>
  <w:abstractNum w:abstractNumId="10">
    <w:lvl w:ilvl="0">
      <w:start w:val="1"/>
      <w:numFmt w:val="bullet"/>
      <w:lvlText w:val=""/>
      <w:lvlJc w:val="start"/>
      <w:pPr>
        <w:tabs>
          <w:tab w:val="num" w:pos="810"/>
        </w:tabs>
        <w:ind w:start="792" w:hanging="34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Heading2"/>
    <w:qFormat/>
    <w:pPr>
      <w:numPr>
        <w:ilvl w:val="0"/>
        <w:numId w:val="1"/>
      </w:numPr>
      <w:spacing w:before="0" w:after="240"/>
      <w:jc w:val="center"/>
      <w:outlineLvl w:val="0"/>
    </w:pPr>
    <w:rPr>
      <w:rFonts w:ascii="Arial" w:hAnsi="Arial" w:cs="Arial"/>
      <w:b/>
      <w:sz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outlineLvl w:val="2"/>
    </w:pPr>
    <w:rPr>
      <w:rFonts w:ascii="Arial" w:hAnsi="Arial" w:cs="Arial"/>
      <w:b/>
      <w:color w:val="000000"/>
      <w:sz w:val="16"/>
      <w:lang w:eastAsia="en-US"/>
    </w:rPr>
  </w:style>
  <w:style w:type="paragraph" w:styleId="Heading4">
    <w:name w:val="heading 4"/>
    <w:basedOn w:val="Normal"/>
    <w:next w:val="Normal"/>
    <w:qFormat/>
    <w:pPr>
      <w:keepNext w:val="true"/>
      <w:numPr>
        <w:ilvl w:val="3"/>
        <w:numId w:val="1"/>
      </w:numPr>
      <w:outlineLvl w:val="3"/>
    </w:pPr>
    <w:rPr>
      <w:b/>
      <w:sz w:val="16"/>
      <w:lang w:eastAsia="en-US"/>
    </w:rPr>
  </w:style>
  <w:style w:type="paragraph" w:styleId="Heading5">
    <w:name w:val="heading 5"/>
    <w:basedOn w:val="Normal"/>
    <w:next w:val="Normal"/>
    <w:qFormat/>
    <w:pPr>
      <w:numPr>
        <w:ilvl w:val="4"/>
        <w:numId w:val="1"/>
      </w:numPr>
      <w:outlineLvl w:val="4"/>
    </w:pPr>
    <w:rPr>
      <w:b/>
      <w:i/>
      <w:sz w:val="22"/>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b/>
      <w:i w:val="false"/>
      <w:color w:val="auto"/>
      <w:sz w:val="20"/>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b/>
      <w:i w:val="false"/>
      <w:color w:val="auto"/>
      <w:sz w:val="20"/>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color w:val="auto"/>
      <w:sz w:val="24"/>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color w:val="auto"/>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4z0">
    <w:name w:val="WW8Num34z0"/>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Symbol" w:hAnsi="Symbol" w:cs="Symbol"/>
      <w:color w:val="auto"/>
      <w:sz w:val="24"/>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color w:val="auto"/>
    </w:rPr>
  </w:style>
  <w:style w:type="character" w:styleId="WW8Num53z0">
    <w:name w:val="WW8Num53z0"/>
    <w:qFormat/>
    <w:rPr>
      <w:rFonts w:ascii="Wingdings" w:hAnsi="Wingdings" w:cs="Wingdings"/>
    </w:rPr>
  </w:style>
  <w:style w:type="character" w:styleId="WW8Num54z0">
    <w:name w:val="WW8Num54z0"/>
    <w:qFormat/>
    <w:rPr>
      <w:rFonts w:ascii="Symbol" w:hAnsi="Symbol" w:cs="Symbol"/>
      <w:color w:val="auto"/>
      <w:sz w:val="20"/>
    </w:rPr>
  </w:style>
  <w:style w:type="character" w:styleId="WW8Num55z0">
    <w:name w:val="WW8Num55z0"/>
    <w:qFormat/>
    <w:rPr>
      <w:rFonts w:ascii="Symbol" w:hAnsi="Symbol" w:cs="Symbol"/>
    </w:rPr>
  </w:style>
  <w:style w:type="character" w:styleId="WW8Num56z0">
    <w:name w:val="WW8Num56z0"/>
    <w:qFormat/>
    <w:rPr>
      <w:rFonts w:ascii="Symbol" w:hAnsi="Symbol" w:cs="Symbol"/>
      <w:color w:val="auto"/>
    </w:rPr>
  </w:style>
  <w:style w:type="character" w:styleId="WW8Num57z0">
    <w:name w:val="WW8Num57z0"/>
    <w:qFormat/>
    <w:rPr>
      <w:rFonts w:ascii="Symbol" w:hAnsi="Symbol" w:cs="Symbol"/>
      <w:color w:val="auto"/>
      <w:sz w:val="24"/>
    </w:rPr>
  </w:style>
  <w:style w:type="character" w:styleId="WW8Num58z0">
    <w:name w:val="WW8Num58z0"/>
    <w:qFormat/>
    <w:rPr>
      <w:rFonts w:ascii="Symbol" w:hAnsi="Symbol" w:cs="Symbol"/>
      <w:color w:val="auto"/>
      <w:sz w:val="24"/>
    </w:rPr>
  </w:style>
  <w:style w:type="character" w:styleId="WW8NumSt7z0">
    <w:name w:val="WW8NumSt7z0"/>
    <w:qFormat/>
    <w:rPr>
      <w:rFonts w:ascii="Symbol" w:hAnsi="Symbol" w:cs="Symbol"/>
    </w:rPr>
  </w:style>
  <w:style w:type="character" w:styleId="WW8NumSt8z0">
    <w:name w:val="WW8NumSt8z0"/>
    <w:qFormat/>
    <w:rPr>
      <w:rFonts w:ascii="Symbol" w:hAnsi="Symbol" w:cs="Symbol"/>
    </w:rPr>
  </w:style>
  <w:style w:type="character" w:styleId="WW8NumSt19z0">
    <w:name w:val="WW8NumSt19z0"/>
    <w:qFormat/>
    <w:rPr>
      <w:rFonts w:ascii="Wingdings" w:hAnsi="Wingdings" w:cs="Wingdings"/>
      <w:sz w:val="32"/>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before="20" w:after="20"/>
      <w:ind w:hanging="0" w:start="1714"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MemoLine">
    <w:name w:val="Memo Line"/>
    <w:basedOn w:val="Normal"/>
    <w:next w:val="Normal"/>
    <w:qFormat/>
    <w:pPr>
      <w:pBdr>
        <w:top w:val="single" w:sz="6" w:space="1" w:color="000000"/>
      </w:pBdr>
      <w:spacing w:before="240" w:after="0"/>
    </w:pPr>
    <w:rPr>
      <w:sz w:val="24"/>
    </w:rPr>
  </w:style>
  <w:style w:type="paragraph" w:styleId="BodyText2">
    <w:name w:val="Body Text 2"/>
    <w:basedOn w:val="Normal"/>
    <w:qFormat/>
    <w:pPr>
      <w:jc w:val="center"/>
    </w:pPr>
    <w:rPr>
      <w:rFonts w:ascii="Arial" w:hAnsi="Arial" w:cs="Arial"/>
      <w:b/>
      <w:color w:val="000000"/>
      <w:sz w:val="14"/>
      <w:lang w:eastAsia="en-US"/>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1.png"/><Relationship Id="rId4"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2001-01-24T12:49:00Z</dcterms:created>
  <dc:creator>PaslawskyI</dc:creator>
  <dc:description/>
  <dc:language>en-CA</dc:language>
  <cp:lastModifiedBy>US Sales</cp:lastModifiedBy>
  <cp:lastPrinted>2000-02-24T13:30:00Z</cp:lastPrinted>
  <dcterms:modified xsi:type="dcterms:W3CDTF">2001-01-24T12:49:00Z</dcterms:modified>
  <cp:revision>2</cp:revision>
  <dc:subject/>
  <dc:title>New D&amp;B Financial Stress Score</dc:title>
</cp:coreProperties>
</file>