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Enron Net Works  -  Power Trading Systems</w:t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 xml:space="preserve">Open Access Scheduling and Volume Management </w:t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Executive Summary</w:t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FSP and VMS Capital Cost and Delivery Schedule</w:t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February 27, 2001</w:t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bidi w:val="0"/>
        <w:ind w:hanging="0" w:start="0" w:end="0"/>
        <w:jc w:val="start"/>
        <w:rPr>
          <w:b/>
          <w:sz w:val="22"/>
        </w:rPr>
      </w:pPr>
      <w:r>
        <w:rPr>
          <w:b/>
          <w:sz w:val="22"/>
        </w:rPr>
        <w:t>Prepared By:</w:t>
        <w:tab/>
        <w:t>Steve Nat – ENW – Director – Power Trading Systems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Primary System Functions:</w:t>
        <w:tab/>
        <w:tab/>
        <w:tab/>
        <w:tab/>
        <w:tab/>
        <w:t>Control Area Interaction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Charge Estimation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Actualization &amp; Reconciliation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Dispute Management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Initial Capital Spend:</w:t>
        <w:tab/>
        <w:tab/>
        <w:tab/>
        <w:tab/>
        <w:tab/>
        <w:tab/>
        <w:t>3.6 MM *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(Base Product Development – Through 01/31/01)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 1 (West Desk) Implementation Cost:</w:t>
        <w:tab/>
        <w:tab/>
        <w:tab/>
        <w:t>1.3 MM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 1 Timeframe:</w:t>
        <w:tab/>
        <w:tab/>
        <w:tab/>
        <w:tab/>
        <w:tab/>
        <w:tab/>
        <w:t>5 Months</w:t>
        <w:tab/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 2 Implementation Cost:</w:t>
        <w:tab/>
        <w:tab/>
        <w:tab/>
        <w:tab/>
        <w:tab/>
        <w:t>1.3 MM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 2 Timeframe:</w:t>
        <w:tab/>
        <w:tab/>
        <w:tab/>
        <w:tab/>
        <w:tab/>
        <w:tab/>
        <w:t>5 Months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 3 Implementation Cost:</w:t>
        <w:tab/>
        <w:tab/>
        <w:tab/>
        <w:tab/>
        <w:tab/>
        <w:t>.6 MM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 3 Timeframe:</w:t>
        <w:tab/>
        <w:tab/>
        <w:tab/>
        <w:tab/>
        <w:tab/>
        <w:tab/>
        <w:t>3 Months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Markets 4 and Beyond / Cost per Market:</w:t>
        <w:tab/>
        <w:tab/>
        <w:tab/>
        <w:t>.16 MM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Markets 4 and Beyond / Timeframe per Market:</w:t>
        <w:tab/>
        <w:tab/>
        <w:tab/>
        <w:t>2 Months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Total Cost – 6 Markets:</w:t>
        <w:tab/>
        <w:tab/>
        <w:tab/>
        <w:tab/>
        <w:tab/>
        <w:tab/>
        <w:t>7.28 MM</w:t>
        <w:tab/>
        <w:tab/>
        <w:tab/>
        <w:tab/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Projected Depreciation Schedule - Pessimistic:</w:t>
        <w:tab/>
        <w:tab/>
        <w:tab/>
        <w:t>50% East Desk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50% West Desk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Projected Depreciation Schedule - Optimistic:</w:t>
        <w:tab/>
        <w:tab/>
        <w:tab/>
        <w:t>35% East Desk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35% West Desk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>30% Other Commodities</w:t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hanging="0" w:start="0" w:end="0"/>
        <w:jc w:val="start"/>
        <w:rPr>
          <w:sz w:val="22"/>
        </w:rPr>
      </w:pPr>
      <w:r>
        <w:rPr>
          <w:sz w:val="22"/>
        </w:rPr>
        <w:t>* Actuals.  The total cost and timeframe for delivering the base system included a 30% premium for architecting the solution to scale to multiple markets with minimal IT intervention.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181</Words>
  <Characters>1267</Characters>
  <CharactersWithSpaces>1032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2001-02-27T10:41:00Z</dcterms:created>
  <dc:creator>Steve Nat</dc:creator>
  <dc:description/>
  <dc:language>en-CA</dc:language>
  <cp:lastModifiedBy/>
  <dcterms:modified xsi:type="dcterms:W3CDTF">2001-02-27T10:41:00Z</dcterms:modified>
  <cp:revision>2</cp:revision>
  <dc:subject/>
  <dc:title>Power Trading Systems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Steve Nat</vt:lpwstr>
  </property>
</Properties>
</file>