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u w:val="single"/>
        </w:rPr>
      </w:pPr>
      <w:r>
        <w:rPr>
          <w:rFonts w:cs="Arial" w:ascii="Arial" w:hAnsi="Arial"/>
          <w:b/>
          <w:u w:val="single"/>
        </w:rPr>
        <w:drawing>
          <wp:inline distT="0" distB="0" distL="0" distR="0">
            <wp:extent cx="1236345" cy="12325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236345" cy="1232535"/>
                    </a:xfrm>
                    <a:prstGeom prst="rect">
                      <a:avLst/>
                    </a:prstGeom>
                    <a:noFill/>
                  </pic:spPr>
                </pic:pic>
              </a:graphicData>
            </a:graphic>
          </wp:inline>
        </w:drawing>
      </w:r>
    </w:p>
    <w:tbl>
      <w:tblPr>
        <w:tblW w:w="10980" w:type="dxa"/>
        <w:jc w:val="start"/>
        <w:tblInd w:w="108" w:type="dxa"/>
        <w:tblLayout w:type="fixed"/>
        <w:tblCellMar>
          <w:top w:w="0" w:type="dxa"/>
          <w:start w:w="108" w:type="dxa"/>
          <w:bottom w:w="0" w:type="dxa"/>
          <w:end w:w="108" w:type="dxa"/>
        </w:tblCellMar>
      </w:tblPr>
      <w:tblGrid>
        <w:gridCol w:w="567"/>
        <w:gridCol w:w="3261"/>
        <w:gridCol w:w="7152"/>
      </w:tblGrid>
      <w:tr>
        <w:trPr/>
        <w:tc>
          <w:tcPr>
            <w:tcW w:w="3828" w:type="dxa"/>
            <w:gridSpan w:val="2"/>
            <w:tcBorders/>
          </w:tcPr>
          <w:p>
            <w:pPr>
              <w:pStyle w:val="Normal"/>
              <w:jc w:val="both"/>
              <w:rPr>
                <w:rFonts w:ascii="Arial" w:hAnsi="Arial" w:cs="Arial"/>
              </w:rPr>
            </w:pPr>
            <w:r>
              <w:rPr>
                <w:rFonts w:cs="Arial" w:ascii="Arial" w:hAnsi="Arial"/>
              </w:rPr>
              <w:t>FAX:</w:t>
              <w:tab/>
              <w:tab/>
              <w:tab/>
            </w:r>
          </w:p>
        </w:tc>
        <w:tc>
          <w:tcPr>
            <w:tcW w:w="7152" w:type="dxa"/>
            <w:tcBorders/>
          </w:tcPr>
          <w:p>
            <w:pPr>
              <w:pStyle w:val="Normal"/>
              <w:jc w:val="both"/>
              <w:rPr>
                <w:rFonts w:ascii="Arial" w:hAnsi="Arial" w:cs="Arial"/>
              </w:rPr>
            </w:pPr>
            <w:r>
              <w:rPr>
                <w:rFonts w:cs="Arial" w:ascii="Arial" w:hAnsi="Arial"/>
              </w:rPr>
              <w:t>(212) 339 0828</w:t>
            </w:r>
          </w:p>
        </w:tc>
      </w:tr>
      <w:tr>
        <w:trPr/>
        <w:tc>
          <w:tcPr>
            <w:tcW w:w="3828" w:type="dxa"/>
            <w:gridSpan w:val="2"/>
            <w:tcBorders/>
          </w:tcPr>
          <w:p>
            <w:pPr>
              <w:pStyle w:val="Normal"/>
              <w:jc w:val="both"/>
              <w:rPr>
                <w:rFonts w:ascii="Arial" w:hAnsi="Arial" w:cs="Arial"/>
              </w:rPr>
            </w:pPr>
            <w:r>
              <w:rPr>
                <w:rFonts w:cs="Arial" w:ascii="Arial" w:hAnsi="Arial"/>
              </w:rPr>
              <w:t>DATE:</w:t>
              <w:tab/>
              <w:tab/>
              <w:tab/>
            </w:r>
          </w:p>
        </w:tc>
        <w:tc>
          <w:tcPr>
            <w:tcW w:w="7152" w:type="dxa"/>
            <w:tcBorders/>
          </w:tcPr>
          <w:p>
            <w:pPr>
              <w:pStyle w:val="Normal"/>
              <w:jc w:val="both"/>
              <w:rPr>
                <w:rFonts w:ascii="Arial" w:hAnsi="Arial" w:cs="Arial"/>
              </w:rPr>
            </w:pPr>
            <w:r>
              <w:rPr>
                <w:rFonts w:cs="Arial" w:ascii="Arial" w:hAnsi="Arial"/>
              </w:rPr>
              <w:t>22 December 2000</w:t>
            </w:r>
          </w:p>
        </w:tc>
      </w:tr>
      <w:tr>
        <w:trPr/>
        <w:tc>
          <w:tcPr>
            <w:tcW w:w="3828" w:type="dxa"/>
            <w:gridSpan w:val="2"/>
            <w:tcBorders/>
          </w:tcPr>
          <w:p>
            <w:pPr>
              <w:pStyle w:val="Normal"/>
              <w:jc w:val="both"/>
              <w:rPr>
                <w:rFonts w:ascii="Arial" w:hAnsi="Arial" w:cs="Arial"/>
              </w:rPr>
            </w:pPr>
            <w:r>
              <w:rPr>
                <w:rFonts w:cs="Arial" w:ascii="Arial" w:hAnsi="Arial"/>
              </w:rPr>
              <w:t>TO:</w:t>
              <w:tab/>
              <w:tab/>
              <w:tab/>
            </w:r>
          </w:p>
        </w:tc>
        <w:tc>
          <w:tcPr>
            <w:tcW w:w="7152" w:type="dxa"/>
            <w:tcBorders/>
          </w:tcPr>
          <w:p>
            <w:pPr>
              <w:pStyle w:val="Normal"/>
              <w:rPr>
                <w:rFonts w:ascii="Arial" w:hAnsi="Arial" w:cs="Arial"/>
                <w:b/>
                <w:i/>
                <w:i/>
              </w:rPr>
            </w:pPr>
            <w:r>
              <w:rPr>
                <w:rFonts w:cs="Arial" w:ascii="Arial" w:hAnsi="Arial"/>
              </w:rPr>
              <w:t>FSA Administrative Services LLC, as Trustee of  CREDIT PROTECTION TRUST XXVI  (“</w:t>
            </w:r>
            <w:r>
              <w:rPr>
                <w:rFonts w:cs="Arial" w:ascii="Arial" w:hAnsi="Arial"/>
                <w:b/>
              </w:rPr>
              <w:t>Counterparty</w:t>
            </w:r>
            <w:r>
              <w:rPr>
                <w:rFonts w:cs="Arial" w:ascii="Arial" w:hAnsi="Arial"/>
              </w:rPr>
              <w:t xml:space="preserve">”)and  FSA Portfolio Management, Inc. Member </w:t>
            </w:r>
          </w:p>
        </w:tc>
      </w:tr>
      <w:tr>
        <w:trPr/>
        <w:tc>
          <w:tcPr>
            <w:tcW w:w="3828" w:type="dxa"/>
            <w:gridSpan w:val="2"/>
            <w:tcBorders/>
          </w:tcPr>
          <w:p>
            <w:pPr>
              <w:pStyle w:val="Normal"/>
              <w:jc w:val="both"/>
              <w:rPr>
                <w:rFonts w:ascii="Arial" w:hAnsi="Arial" w:cs="Arial"/>
              </w:rPr>
            </w:pPr>
            <w:r>
              <w:rPr>
                <w:rFonts w:cs="Arial" w:ascii="Arial" w:hAnsi="Arial"/>
              </w:rPr>
              <w:t>ATTENTION:</w:t>
              <w:tab/>
              <w:tab/>
            </w:r>
          </w:p>
        </w:tc>
        <w:tc>
          <w:tcPr>
            <w:tcW w:w="7152" w:type="dxa"/>
            <w:tcBorders/>
          </w:tcPr>
          <w:p>
            <w:pPr>
              <w:pStyle w:val="Normal"/>
              <w:jc w:val="both"/>
              <w:rPr>
                <w:rFonts w:ascii="Arial" w:hAnsi="Arial" w:cs="Arial"/>
                <w:bCs/>
                <w:iCs/>
              </w:rPr>
            </w:pPr>
            <w:r>
              <w:rPr>
                <w:rFonts w:cs="Arial" w:ascii="Arial" w:hAnsi="Arial"/>
                <w:bCs/>
                <w:iCs/>
              </w:rPr>
              <w:t>General Counsel</w:t>
            </w:r>
          </w:p>
        </w:tc>
      </w:tr>
      <w:tr>
        <w:trPr/>
        <w:tc>
          <w:tcPr>
            <w:tcW w:w="3828" w:type="dxa"/>
            <w:gridSpan w:val="2"/>
            <w:tcBorders/>
          </w:tcPr>
          <w:p>
            <w:pPr>
              <w:pStyle w:val="Normal"/>
              <w:tabs>
                <w:tab w:val="left" w:pos="720" w:leader="none"/>
                <w:tab w:val="left" w:pos="1440" w:leader="none"/>
                <w:tab w:val="left" w:pos="2160" w:leader="none"/>
              </w:tabs>
              <w:jc w:val="both"/>
              <w:rPr>
                <w:rFonts w:ascii="Arial" w:hAnsi="Arial" w:cs="Arial"/>
              </w:rPr>
            </w:pPr>
            <w:r>
              <w:rPr>
                <w:rFonts w:cs="Arial" w:ascii="Arial" w:hAnsi="Arial"/>
              </w:rPr>
              <w:t>FROM:</w:t>
              <w:tab/>
              <w:tab/>
              <w:tab/>
            </w:r>
          </w:p>
        </w:tc>
        <w:tc>
          <w:tcPr>
            <w:tcW w:w="7152" w:type="dxa"/>
            <w:tcBorders/>
          </w:tcPr>
          <w:p>
            <w:pPr>
              <w:pStyle w:val="Normal"/>
              <w:jc w:val="both"/>
              <w:rPr/>
            </w:pPr>
            <w:r>
              <w:rPr>
                <w:rFonts w:cs="Arial" w:ascii="Arial" w:hAnsi="Arial"/>
              </w:rPr>
              <w:t>Enron North America Corp. (“</w:t>
            </w:r>
            <w:r>
              <w:rPr>
                <w:rFonts w:cs="Arial" w:ascii="Arial" w:hAnsi="Arial"/>
                <w:b/>
              </w:rPr>
              <w:t>Enron</w:t>
            </w:r>
            <w:r>
              <w:rPr>
                <w:rFonts w:cs="Arial" w:ascii="Arial" w:hAnsi="Arial"/>
              </w:rPr>
              <w:t>”)</w:t>
            </w:r>
          </w:p>
        </w:tc>
      </w:tr>
      <w:tr>
        <w:trPr/>
        <w:tc>
          <w:tcPr>
            <w:tcW w:w="10980" w:type="dxa"/>
            <w:gridSpan w:val="3"/>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r>
      <w:tr>
        <w:trPr>
          <w:trHeight w:val="4222" w:hRule="atLeast"/>
        </w:trPr>
        <w:tc>
          <w:tcPr>
            <w:tcW w:w="10980" w:type="dxa"/>
            <w:gridSpan w:val="3"/>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jc w:val="both"/>
              <w:rPr>
                <w:rFonts w:ascii="Arial" w:hAnsi="Arial" w:cs="Arial"/>
                <w:color w:val="000000"/>
              </w:rPr>
            </w:pPr>
            <w:r>
              <w:rPr>
                <w:rFonts w:cs="Arial" w:ascii="Arial" w:hAnsi="Arial"/>
                <w:color w:val="000000"/>
              </w:rPr>
              <w:t>Dear Sir or Madam,</w:t>
            </w:r>
          </w:p>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jc w:val="both"/>
              <w:rPr>
                <w:rFonts w:ascii="Arial" w:hAnsi="Arial" w:cs="Arial"/>
                <w:color w:val="000000"/>
              </w:rPr>
            </w:pPr>
            <w:r>
              <w:rPr>
                <w:rFonts w:cs="Arial" w:ascii="Arial" w:hAnsi="Arial"/>
                <w:color w:val="000000"/>
              </w:rPr>
            </w:r>
          </w:p>
          <w:p>
            <w:pPr>
              <w:pStyle w:val="Normal"/>
              <w:tabs>
                <w:tab w:val="clear" w:pos="720"/>
                <w:tab w:val="left" w:pos="-1440" w:leader="none"/>
                <w:tab w:val="left" w:pos="-108" w:leader="none"/>
                <w:tab w:val="left" w:pos="0" w:leader="none"/>
              </w:tabs>
              <w:jc w:val="both"/>
              <w:rPr/>
            </w:pPr>
            <w:r>
              <w:rPr>
                <w:rFonts w:cs="Arial" w:ascii="Arial" w:hAnsi="Arial"/>
                <w:color w:val="000000"/>
              </w:rPr>
              <w:tab/>
              <w:t>The purpose of this confirmation (this "</w:t>
            </w:r>
            <w:r>
              <w:rPr>
                <w:rFonts w:cs="Arial" w:ascii="Arial" w:hAnsi="Arial"/>
                <w:b/>
                <w:color w:val="000000"/>
              </w:rPr>
              <w:t>Confirmation</w:t>
            </w:r>
            <w:r>
              <w:rPr>
                <w:rFonts w:cs="Arial" w:ascii="Arial" w:hAnsi="Arial"/>
                <w:color w:val="000000"/>
              </w:rPr>
              <w:t>") is to confirm the terms and conditions of the Credit Derivative Transaction entered into between Enron a</w:t>
            </w:r>
            <w:r>
              <w:rPr>
                <w:rFonts w:cs="Arial" w:ascii="Arial" w:hAnsi="Arial"/>
              </w:rPr>
              <w:t xml:space="preserve">nd Counterparty </w:t>
            </w:r>
            <w:r>
              <w:rPr>
                <w:rFonts w:cs="Arial" w:ascii="Arial" w:hAnsi="Arial"/>
                <w:color w:val="000000"/>
              </w:rPr>
              <w:t>on the Trade Date specified below (the "</w:t>
            </w:r>
            <w:r>
              <w:rPr>
                <w:rFonts w:cs="Arial" w:ascii="Arial" w:hAnsi="Arial"/>
                <w:b/>
                <w:color w:val="000000"/>
              </w:rPr>
              <w:t>Transaction</w:t>
            </w:r>
            <w:r>
              <w:rPr>
                <w:rFonts w:cs="Arial" w:ascii="Arial" w:hAnsi="Arial"/>
                <w:color w:val="000000"/>
              </w:rPr>
              <w:t>").  This Confirmation constitutes a "Confirmation" as referred to in the ISDA Master Agreement specified below.</w:t>
            </w:r>
          </w:p>
          <w:p>
            <w:pPr>
              <w:pStyle w:val="WW-BodyText22"/>
              <w:jc w:val="both"/>
              <w:rPr>
                <w:rFonts w:ascii="Arial" w:hAnsi="Arial" w:cs="Arial"/>
                <w:color w:val="000000"/>
                <w:sz w:val="20"/>
              </w:rPr>
            </w:pPr>
            <w:r>
              <w:rPr>
                <w:rFonts w:cs="Arial" w:ascii="Arial" w:hAnsi="Arial"/>
                <w:color w:val="000000"/>
                <w:sz w:val="20"/>
              </w:rPr>
            </w:r>
          </w:p>
          <w:p>
            <w:pPr>
              <w:pStyle w:val="WW-BodyText22"/>
              <w:jc w:val="both"/>
              <w:rPr/>
            </w:pPr>
            <w:r>
              <w:rPr>
                <w:rFonts w:cs="Arial" w:ascii="Arial" w:hAnsi="Arial"/>
                <w:sz w:val="20"/>
              </w:rPr>
              <w:t>The definitions and provisions contained in the 1999 ISDA Credit Derivatives Definitions (the "</w:t>
            </w:r>
            <w:r>
              <w:rPr>
                <w:rFonts w:cs="Arial" w:ascii="Arial" w:hAnsi="Arial"/>
                <w:b/>
                <w:sz w:val="20"/>
              </w:rPr>
              <w:t>Credit Derivatives Definitions</w:t>
            </w:r>
            <w:r>
              <w:rPr>
                <w:rFonts w:cs="Arial" w:ascii="Arial" w:hAnsi="Arial"/>
                <w:sz w:val="20"/>
              </w:rPr>
              <w:t>"), as published by the International Swaps and Derivatives Association, Inc., are incorporated into this Confirmation.  In the event of any inconsistency between the Credit Derivatives Definitions and this Confirmation, this Confirmation will govern.</w:t>
            </w:r>
          </w:p>
          <w:p>
            <w:pPr>
              <w:pStyle w:val="Normal"/>
              <w:tabs>
                <w:tab w:val="clear" w:pos="720"/>
                <w:tab w:val="left" w:pos="-1440" w:leader="none"/>
                <w:tab w:val="left" w:pos="-108" w:leader="none"/>
                <w:tab w:val="left" w:pos="0" w:leader="none"/>
              </w:tabs>
              <w:ind w:firstLine="720" w:end="0"/>
              <w:jc w:val="both"/>
              <w:rPr>
                <w:rFonts w:ascii="Arial" w:hAnsi="Arial" w:cs="Arial"/>
                <w:color w:val="000000"/>
                <w:sz w:val="20"/>
              </w:rPr>
            </w:pPr>
            <w:r>
              <w:rPr>
                <w:rFonts w:cs="Arial" w:ascii="Arial" w:hAnsi="Arial"/>
                <w:color w:val="000000"/>
                <w:sz w:val="20"/>
              </w:rPr>
            </w:r>
          </w:p>
          <w:p>
            <w:pPr>
              <w:pStyle w:val="Normal"/>
              <w:tabs>
                <w:tab w:val="clear" w:pos="720"/>
                <w:tab w:val="left" w:pos="-1440" w:leader="none"/>
                <w:tab w:val="left" w:pos="-108" w:leader="none"/>
                <w:tab w:val="left" w:pos="0" w:leader="none"/>
              </w:tabs>
              <w:ind w:firstLine="656" w:end="0"/>
              <w:jc w:val="both"/>
              <w:rPr/>
            </w:pPr>
            <w:r>
              <w:rPr>
                <w:rFonts w:cs="Arial" w:ascii="Arial" w:hAnsi="Arial"/>
                <w:color w:val="000000"/>
              </w:rPr>
              <w:t xml:space="preserve">This Confirmation supplements, forms a part of, and is subject to, the ISDA Master Agreement dated </w:t>
            </w:r>
            <w:r>
              <w:rPr>
                <w:rFonts w:cs="Arial" w:ascii="Arial" w:hAnsi="Arial"/>
                <w:b/>
                <w:bCs/>
              </w:rPr>
              <w:t>22 December 2000</w:t>
            </w:r>
            <w:r>
              <w:rPr>
                <w:rFonts w:cs="Arial" w:ascii="Arial" w:hAnsi="Arial"/>
                <w:b/>
                <w:bCs/>
                <w:color w:val="000000"/>
              </w:rPr>
              <w:t xml:space="preserve"> </w:t>
            </w:r>
            <w:r>
              <w:rPr>
                <w:rFonts w:cs="Arial" w:ascii="Arial" w:hAnsi="Arial"/>
                <w:color w:val="000000"/>
              </w:rPr>
              <w:t>as amended and supplemented from time to time (the "</w:t>
            </w:r>
            <w:r>
              <w:rPr>
                <w:rFonts w:cs="Arial" w:ascii="Arial" w:hAnsi="Arial"/>
                <w:b/>
                <w:color w:val="000000"/>
              </w:rPr>
              <w:t>Agreement</w:t>
            </w:r>
            <w:r>
              <w:rPr>
                <w:rFonts w:cs="Arial" w:ascii="Arial" w:hAnsi="Arial"/>
                <w:color w:val="000000"/>
              </w:rPr>
              <w:t>"), between you and us, and Financial Security Assurance Inc. (“</w:t>
            </w:r>
            <w:r>
              <w:rPr>
                <w:rFonts w:cs="Arial" w:ascii="Arial" w:hAnsi="Arial"/>
                <w:b/>
                <w:bCs/>
                <w:color w:val="000000"/>
              </w:rPr>
              <w:t>FSA</w:t>
            </w:r>
            <w:r>
              <w:rPr>
                <w:rFonts w:cs="Arial" w:ascii="Arial" w:hAnsi="Arial"/>
                <w:color w:val="000000"/>
              </w:rPr>
              <w:t>”).  All provisions contained in the Agreement govern this Confirmation except as expressly modified below.</w:t>
            </w:r>
          </w:p>
          <w:p>
            <w:pPr>
              <w:pStyle w:val="Normal"/>
              <w:tabs>
                <w:tab w:val="clear" w:pos="720"/>
                <w:tab w:val="left" w:pos="-1440" w:leader="none"/>
                <w:tab w:val="left" w:pos="-108" w:leader="none"/>
                <w:tab w:val="left" w:pos="0" w:leader="none"/>
              </w:tabs>
              <w:ind w:firstLine="656" w:end="0"/>
              <w:jc w:val="both"/>
              <w:rPr>
                <w:rFonts w:ascii="Arial" w:hAnsi="Arial" w:cs="Arial"/>
                <w:color w:val="000000"/>
              </w:rPr>
            </w:pPr>
            <w:r>
              <w:rPr>
                <w:rFonts w:cs="Arial" w:ascii="Arial" w:hAnsi="Arial"/>
                <w:color w:val="000000"/>
              </w:rPr>
            </w:r>
          </w:p>
          <w:p>
            <w:pPr>
              <w:pStyle w:val="BodyTextIndent"/>
              <w:rPr>
                <w:color w:val="000000"/>
                <w:sz w:val="20"/>
              </w:rPr>
            </w:pPr>
            <w:r>
              <w:rPr>
                <w:color w:val="000000"/>
                <w:sz w:val="20"/>
              </w:rPr>
              <w:t>This Confirmation documents a Transaction comprising a basket of Reference Entities and the Transaction may be subject to multiple Settlement Dates and payment of more than one Cash Protection Amount.  Accordingly, the Transaction has a cash settlement mechanism, which differs significantly from the standard Cash Settlement mechanism set-out in Section 7 of the Credit Derivatives Definitions.  The Transaction shall continue irrespective of any such Settlement Dates in accordance with its terms up to and including the Termination Date.</w:t>
            </w:r>
          </w:p>
          <w:p>
            <w:pPr>
              <w:pStyle w:val="Normal"/>
              <w:tabs>
                <w:tab w:val="clear" w:pos="720"/>
                <w:tab w:val="left" w:pos="-1440" w:leader="none"/>
                <w:tab w:val="left" w:pos="-108" w:leader="none"/>
                <w:tab w:val="left" w:pos="0" w:leader="none"/>
              </w:tabs>
              <w:ind w:firstLine="656" w:end="0"/>
              <w:jc w:val="both"/>
              <w:rPr>
                <w:rFonts w:ascii="Arial" w:hAnsi="Arial" w:cs="Arial"/>
                <w:color w:val="000000"/>
                <w:sz w:val="20"/>
              </w:rPr>
            </w:pPr>
            <w:r>
              <w:rPr>
                <w:rFonts w:cs="Arial" w:ascii="Arial" w:hAnsi="Arial"/>
                <w:color w:val="000000"/>
                <w:sz w:val="20"/>
              </w:rPr>
            </w:r>
          </w:p>
        </w:tc>
      </w:tr>
      <w:tr>
        <w:trPr/>
        <w:tc>
          <w:tcPr>
            <w:tcW w:w="10980" w:type="dxa"/>
            <w:gridSpan w:val="3"/>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r>
      <w:tr>
        <w:trPr/>
        <w:tc>
          <w:tcPr>
            <w:tcW w:w="10980" w:type="dxa"/>
            <w:gridSpan w:val="3"/>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jc w:val="both"/>
              <w:rPr>
                <w:rFonts w:ascii="Arial" w:hAnsi="Arial" w:cs="Arial"/>
                <w:color w:val="000000"/>
              </w:rPr>
            </w:pPr>
            <w:r>
              <w:rPr>
                <w:rFonts w:cs="Arial" w:ascii="Arial" w:hAnsi="Arial"/>
                <w:color w:val="000000"/>
              </w:rPr>
              <w:t xml:space="preserve">The terms of the Transaction to which this Confirmation relates are as follows: </w:t>
            </w:r>
          </w:p>
        </w:tc>
      </w:tr>
      <w:tr>
        <w:trPr/>
        <w:tc>
          <w:tcPr>
            <w:tcW w:w="3828" w:type="dxa"/>
            <w:gridSpan w:val="2"/>
            <w:tcBorders/>
          </w:tcPr>
          <w:p>
            <w:pPr>
              <w:pStyle w:val="Normal"/>
              <w:snapToGrid w:val="false"/>
              <w:jc w:val="both"/>
              <w:rPr>
                <w:rFonts w:ascii="Arial" w:hAnsi="Arial" w:cs="Arial"/>
                <w:color w:val="000000"/>
              </w:rPr>
            </w:pPr>
            <w:r>
              <w:rPr>
                <w:rFonts w:cs="Arial" w:ascii="Arial" w:hAnsi="Arial"/>
                <w:color w:val="000000"/>
              </w:rPr>
            </w:r>
          </w:p>
        </w:tc>
        <w:tc>
          <w:tcPr>
            <w:tcW w:w="7152" w:type="dxa"/>
            <w:tcBorders/>
          </w:tcPr>
          <w:p>
            <w:pPr>
              <w:pStyle w:val="Normal"/>
              <w:snapToGrid w:val="false"/>
              <w:jc w:val="both"/>
              <w:rPr>
                <w:rFonts w:ascii="Arial" w:hAnsi="Arial" w:cs="Arial"/>
              </w:rPr>
            </w:pPr>
            <w:r>
              <w:rPr>
                <w:rFonts w:cs="Arial" w:ascii="Arial" w:hAnsi="Arial"/>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jc w:val="both"/>
              <w:rPr>
                <w:rFonts w:ascii="Arial" w:hAnsi="Arial" w:cs="Arial"/>
                <w:b/>
                <w:bCs/>
                <w:color w:val="000000"/>
              </w:rPr>
            </w:pPr>
            <w:r>
              <w:rPr>
                <w:rFonts w:cs="Arial" w:ascii="Arial" w:hAnsi="Arial"/>
                <w:b/>
                <w:bCs/>
                <w:color w:val="000000"/>
              </w:rPr>
              <w:t>1.</w:t>
              <w:tab/>
              <w:t>General Terms:</w:t>
            </w:r>
          </w:p>
        </w:tc>
        <w:tc>
          <w:tcPr>
            <w:tcW w:w="3261"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jc w:val="both"/>
              <w:rPr>
                <w:rFonts w:ascii="Arial" w:hAnsi="Arial" w:cs="Arial"/>
                <w:b/>
                <w:bCs/>
                <w:color w:val="000000"/>
                <w:u w:val="single"/>
              </w:rPr>
            </w:pPr>
            <w:r>
              <w:rPr>
                <w:rFonts w:cs="Arial" w:ascii="Arial" w:hAnsi="Arial"/>
                <w:b/>
                <w:bCs/>
                <w:color w:val="000000"/>
                <w:u w:val="single"/>
              </w:rPr>
              <w:t>General Terms:</w:t>
            </w:r>
          </w:p>
        </w:tc>
        <w:tc>
          <w:tcPr>
            <w:tcW w:w="7152"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jc w:val="both"/>
              <w:rPr>
                <w:rFonts w:ascii="Arial" w:hAnsi="Arial" w:cs="Arial"/>
                <w:color w:val="000000"/>
              </w:rPr>
            </w:pPr>
            <w:r>
              <w:rPr>
                <w:rFonts w:cs="Arial" w:ascii="Arial" w:hAnsi="Arial"/>
                <w:color w:val="000000"/>
              </w:rPr>
              <w:tab/>
              <w:tab/>
              <w:tab/>
              <w:tab/>
              <w:tab/>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153"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153" w:leader="none"/>
              </w:tabs>
              <w:jc w:val="both"/>
              <w:rPr>
                <w:rFonts w:ascii="Arial" w:hAnsi="Arial" w:cs="Arial"/>
                <w:color w:val="000000"/>
              </w:rPr>
            </w:pPr>
            <w:r>
              <w:rPr>
                <w:rFonts w:cs="Arial" w:ascii="Arial" w:hAnsi="Arial"/>
                <w:color w:val="000000"/>
              </w:rPr>
              <w:t>Trade Date:</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22 December 2000</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153"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153" w:leader="none"/>
              </w:tabs>
              <w:jc w:val="both"/>
              <w:rPr>
                <w:rFonts w:ascii="Arial" w:hAnsi="Arial" w:cs="Arial"/>
                <w:color w:val="000000"/>
              </w:rPr>
            </w:pPr>
            <w:r>
              <w:rPr>
                <w:rFonts w:cs="Arial" w:ascii="Arial" w:hAnsi="Arial"/>
                <w:color w:val="000000"/>
              </w:rPr>
              <w:t>Effective Date:</w:t>
              <w:tab/>
              <w:tab/>
              <w:tab/>
              <w:tab/>
              <w:t>[                ]</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22 December 2000</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Scheduled Termination Date:</w:t>
              <w:tab/>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5 January 2006</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Termination Date:</w:t>
            </w:r>
          </w:p>
        </w:tc>
        <w:tc>
          <w:tcPr>
            <w:tcW w:w="7152" w:type="dxa"/>
            <w:tcBorders/>
          </w:tcPr>
          <w:p>
            <w:pPr>
              <w:pStyle w:val="Normal"/>
              <w:tabs>
                <w:tab w:val="clear" w:pos="720"/>
                <w:tab w:val="left" w:pos="-1440" w:leader="none"/>
                <w:tab w:val="left" w:pos="-720" w:leader="none"/>
                <w:tab w:val="left" w:pos="0" w:leader="none"/>
              </w:tabs>
              <w:ind w:end="176"/>
              <w:jc w:val="both"/>
              <w:rPr>
                <w:rFonts w:ascii="Arial" w:hAnsi="Arial" w:cs="Arial"/>
              </w:rPr>
            </w:pPr>
            <w:r>
              <w:rPr>
                <w:rFonts w:cs="Arial" w:ascii="Arial" w:hAnsi="Arial"/>
                <w:position w:val="-6"/>
              </w:rPr>
              <w:t>The earlier of (i) the Scheduled Termination Date; (ii) the Credit Protection Termination Date (as defined below); and (iii) the Cash Settlement Date upon which, after payment of the relevant Cash Protection Amount(s) (if any), all Reference Entities have been deleted from Schedule A .</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Fixed Rate Payer:</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rPr>
            </w:pPr>
            <w:r>
              <w:rPr>
                <w:rFonts w:cs="Arial" w:ascii="Arial" w:hAnsi="Arial"/>
              </w:rPr>
              <w:t xml:space="preserve">Enron </w:t>
            </w:r>
            <w:r>
              <w:rPr>
                <w:rFonts w:cs="Arial" w:ascii="Arial" w:hAnsi="Arial"/>
                <w:color w:val="000000"/>
              </w:rPr>
              <w:t>(the "</w:t>
            </w:r>
            <w:r>
              <w:rPr>
                <w:rFonts w:cs="Arial" w:ascii="Arial" w:hAnsi="Arial"/>
                <w:b/>
                <w:color w:val="000000"/>
              </w:rPr>
              <w:t>Buyer</w:t>
            </w:r>
            <w:r>
              <w:rPr>
                <w:rFonts w:cs="Arial" w:ascii="Arial" w:hAnsi="Arial"/>
                <w:color w:val="000000"/>
              </w:rPr>
              <w:t>")</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jc w:val="both"/>
              <w:rPr>
                <w:rFonts w:ascii="Arial" w:hAnsi="Arial" w:cs="Arial"/>
                <w:color w:val="000000"/>
              </w:rPr>
            </w:pPr>
            <w:r>
              <w:rPr>
                <w:rFonts w:cs="Arial" w:ascii="Arial" w:hAnsi="Arial"/>
                <w:color w:val="000000"/>
              </w:rPr>
              <w:tab/>
              <w:t xml:space="preserve"> Scheduled Termination Date:</w:t>
              <w:tab/>
              <w:tab/>
              <w:t xml:space="preserve">[                ]  </w:t>
            </w:r>
            <w:r>
              <w:rPr>
                <w:rFonts w:cs="Arial" w:ascii="Arial" w:hAnsi="Arial"/>
                <w:strike/>
                <w:color w:val="000000"/>
              </w:rPr>
              <w:t>The Scheduled Termination Date shall not be subject to adjustment in accordance with any Business Day Convention.</w:t>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Floating Rate Payer:</w:t>
              <w:tab/>
            </w:r>
          </w:p>
        </w:tc>
        <w:tc>
          <w:tcPr>
            <w:tcW w:w="7152" w:type="dxa"/>
            <w:tcBorders/>
          </w:tcPr>
          <w:p>
            <w:pPr>
              <w:pStyle w:val="Normal"/>
              <w:tabs>
                <w:tab w:val="clear" w:pos="720"/>
                <w:tab w:val="left" w:pos="-1440" w:leader="none"/>
                <w:tab w:val="left" w:pos="-720" w:leader="none"/>
                <w:tab w:val="left" w:pos="0" w:leader="none"/>
              </w:tabs>
              <w:jc w:val="both"/>
              <w:rPr/>
            </w:pPr>
            <w:r>
              <w:rPr>
                <w:rFonts w:cs="Arial" w:ascii="Arial" w:hAnsi="Arial"/>
              </w:rPr>
              <w:t xml:space="preserve">Counterparty </w:t>
            </w:r>
            <w:r>
              <w:rPr>
                <w:rFonts w:cs="Arial" w:ascii="Arial" w:hAnsi="Arial"/>
                <w:color w:val="000000"/>
              </w:rPr>
              <w:t>(the "</w:t>
            </w:r>
            <w:r>
              <w:rPr>
                <w:rFonts w:cs="Arial" w:ascii="Arial" w:hAnsi="Arial"/>
                <w:b/>
                <w:color w:val="000000"/>
              </w:rPr>
              <w:t>Seller</w:t>
            </w:r>
            <w:r>
              <w:rPr>
                <w:rFonts w:cs="Arial" w:ascii="Arial" w:hAnsi="Arial"/>
                <w:color w:val="000000"/>
              </w:rPr>
              <w:t>")</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Calculation Agent:</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rPr>
            </w:pPr>
            <w:r>
              <w:rPr>
                <w:rFonts w:cs="Arial" w:ascii="Arial" w:hAnsi="Arial"/>
                <w:color w:val="000000"/>
              </w:rPr>
              <w:t>Enron</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jc w:val="both"/>
              <w:rPr>
                <w:rFonts w:ascii="Arial" w:hAnsi="Arial" w:cs="Arial"/>
                <w:color w:val="000000"/>
              </w:rPr>
            </w:pPr>
            <w:r>
              <w:rPr>
                <w:rFonts w:cs="Arial" w:ascii="Arial" w:hAnsi="Arial"/>
                <w:color w:val="000000"/>
              </w:rPr>
              <w:tab/>
            </w:r>
          </w:p>
        </w:tc>
        <w:tc>
          <w:tcPr>
            <w:tcW w:w="3261" w:type="dxa"/>
            <w:tcBorders/>
          </w:tcPr>
          <w:p>
            <w:pPr>
              <w:pStyle w:val="Normal"/>
              <w:tabs>
                <w:tab w:val="clear" w:pos="720"/>
                <w:tab w:val="left" w:pos="-1440" w:leader="none"/>
                <w:tab w:val="left" w:pos="-720" w:leader="none"/>
                <w:tab w:val="left" w:pos="0" w:leader="none"/>
                <w:tab w:val="left" w:pos="3600" w:leader="none"/>
              </w:tabs>
              <w:jc w:val="both"/>
              <w:rPr/>
            </w:pPr>
            <w:r>
              <w:rPr>
                <w:rFonts w:cs="Arial" w:ascii="Arial" w:hAnsi="Arial"/>
                <w:color w:val="000000"/>
              </w:rPr>
              <w:t>Calculation Agent City:</w:t>
              <w:tab/>
              <w:t xml:space="preserve"> Fixed Rate Payer:</w:t>
              <w:tab/>
              <w:tab/>
              <w:tab/>
            </w:r>
            <w:r>
              <w:rPr>
                <w:rFonts w:cs="Arial" w:ascii="Arial" w:hAnsi="Arial"/>
              </w:rPr>
              <w:t xml:space="preserve">[MLI][Counterparty] </w:t>
            </w:r>
            <w:r>
              <w:rPr>
                <w:rFonts w:cs="Arial" w:ascii="Arial" w:hAnsi="Arial"/>
                <w:color w:val="000000"/>
              </w:rPr>
              <w:t>(the "Buyer").</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rPr>
              <w:t>London</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Business Day:</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 xml:space="preserve">London and New York </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Business Day Convention:</w:t>
            </w:r>
          </w:p>
        </w:tc>
        <w:tc>
          <w:tcPr>
            <w:tcW w:w="7152" w:type="dxa"/>
            <w:tcBorders/>
          </w:tcPr>
          <w:p>
            <w:pPr>
              <w:pStyle w:val="Heading8"/>
              <w:ind w:hanging="0" w:start="0"/>
              <w:jc w:val="both"/>
              <w:rPr>
                <w:rFonts w:ascii="Arial" w:hAnsi="Arial" w:cs="Arial"/>
                <w:b w:val="false"/>
                <w:sz w:val="20"/>
                <w:u w:val="none"/>
              </w:rPr>
            </w:pPr>
            <w:r>
              <w:rPr>
                <w:rFonts w:cs="Arial" w:ascii="Arial" w:hAnsi="Arial"/>
                <w:b w:val="false"/>
                <w:sz w:val="20"/>
                <w:u w:val="none"/>
              </w:rPr>
              <w:t>Modified Following (which shall apply to any date referred to in this Confirmation that falls on a day that is not a Business Day).</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b w:val="false"/>
                <w:color w:val="000000"/>
                <w:sz w:val="20"/>
                <w:u w:val="none"/>
              </w:rPr>
            </w:pPr>
            <w:r>
              <w:rPr>
                <w:rFonts w:cs="Arial" w:ascii="Arial" w:hAnsi="Arial"/>
                <w:b w:val="false"/>
                <w:color w:val="000000"/>
                <w:sz w:val="20"/>
                <w:u w:val="none"/>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Reference Entity:</w:t>
              <w:tab/>
            </w:r>
          </w:p>
        </w:tc>
        <w:tc>
          <w:tcPr>
            <w:tcW w:w="7152" w:type="dxa"/>
            <w:tcBorders/>
          </w:tcPr>
          <w:p>
            <w:pPr>
              <w:pStyle w:val="Normal"/>
              <w:tabs>
                <w:tab w:val="clear" w:pos="720"/>
                <w:tab w:val="left" w:pos="-1440" w:leader="none"/>
                <w:tab w:val="left" w:pos="-720" w:leader="none"/>
                <w:tab w:val="left" w:pos="0" w:leader="none"/>
              </w:tabs>
              <w:jc w:val="both"/>
              <w:rPr/>
            </w:pPr>
            <w:r>
              <w:rPr>
                <w:rFonts w:cs="Arial" w:ascii="Arial" w:hAnsi="Arial"/>
                <w:color w:val="000000"/>
              </w:rPr>
              <w:t xml:space="preserve">Each of the entities identified in Schedule A; </w:t>
            </w:r>
            <w:r>
              <w:rPr>
                <w:rFonts w:cs="Arial" w:ascii="Arial" w:hAnsi="Arial"/>
                <w:b/>
                <w:i/>
                <w:color w:val="000000"/>
              </w:rPr>
              <w:t>provided that</w:t>
            </w:r>
            <w:r>
              <w:rPr>
                <w:rFonts w:cs="Arial" w:ascii="Arial" w:hAnsi="Arial"/>
                <w:color w:val="000000"/>
              </w:rPr>
              <w:t xml:space="preserve"> upon the occurrence of a Credit Event with respect to a Reference Entity or Obligations of a Reference Entity, such Reference Entity will be deemed deleted from Schedule A, </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r>
          </w:p>
          <w:p>
            <w:pPr>
              <w:pStyle w:val="Normal"/>
              <w:numPr>
                <w:ilvl w:val="0"/>
                <w:numId w:val="2"/>
              </w:numPr>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 xml:space="preserve">in the event that all Conditions to Payment with respect to such Reference Entity </w:t>
            </w:r>
            <w:r>
              <w:rPr>
                <w:rFonts w:cs="Arial" w:ascii="Arial" w:hAnsi="Arial"/>
                <w:b/>
                <w:bCs/>
                <w:color w:val="000000"/>
              </w:rPr>
              <w:t xml:space="preserve">have </w:t>
            </w:r>
            <w:r>
              <w:rPr>
                <w:rFonts w:cs="Arial" w:ascii="Arial" w:hAnsi="Arial"/>
                <w:color w:val="000000"/>
              </w:rPr>
              <w:t>been satisfied on or before the ninetieth (90</w:t>
            </w:r>
            <w:r>
              <w:rPr>
                <w:rFonts w:cs="Arial" w:ascii="Arial" w:hAnsi="Arial"/>
                <w:color w:val="000000"/>
                <w:vertAlign w:val="superscript"/>
              </w:rPr>
              <w:t>th</w:t>
            </w:r>
            <w:r>
              <w:rPr>
                <w:rFonts w:cs="Arial" w:ascii="Arial" w:hAnsi="Arial"/>
                <w:color w:val="000000"/>
              </w:rPr>
              <w:t>) Business Day following the first date (the “</w:t>
            </w:r>
            <w:r>
              <w:rPr>
                <w:rFonts w:cs="Arial" w:ascii="Arial" w:hAnsi="Arial"/>
                <w:b/>
                <w:bCs/>
                <w:color w:val="000000"/>
              </w:rPr>
              <w:t>Reference Entity CP End Date</w:t>
            </w:r>
            <w:r>
              <w:rPr>
                <w:rFonts w:cs="Arial" w:ascii="Arial" w:hAnsi="Arial"/>
                <w:color w:val="000000"/>
              </w:rPr>
              <w:t xml:space="preserve">”) on which both the Buyer becomes aware of a Credit Event and there is Publicly Available Information in respect of the relevant Credit Event, upon payment of the applicable Cash Protection Amount (if any); and </w:t>
            </w:r>
          </w:p>
          <w:p>
            <w:pPr>
              <w:pStyle w:val="Normal"/>
              <w:tabs>
                <w:tab w:val="clear" w:pos="720"/>
                <w:tab w:val="left" w:pos="-1440" w:leader="none"/>
                <w:tab w:val="left" w:pos="-720" w:leader="none"/>
                <w:tab w:val="left" w:pos="0" w:leader="none"/>
              </w:tabs>
              <w:ind w:start="360" w:end="0"/>
              <w:jc w:val="both"/>
              <w:rPr>
                <w:rFonts w:ascii="Arial" w:hAnsi="Arial" w:cs="Arial"/>
                <w:color w:val="000000"/>
              </w:rPr>
            </w:pPr>
            <w:r>
              <w:rPr>
                <w:rFonts w:cs="Arial" w:ascii="Arial" w:hAnsi="Arial"/>
                <w:color w:val="000000"/>
              </w:rPr>
            </w:r>
          </w:p>
          <w:p>
            <w:pPr>
              <w:pStyle w:val="Normal"/>
              <w:numPr>
                <w:ilvl w:val="0"/>
                <w:numId w:val="2"/>
              </w:numPr>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 xml:space="preserve">in the event that all Conditions to Payment with respect to such Reference Entity </w:t>
            </w:r>
            <w:r>
              <w:rPr>
                <w:rFonts w:cs="Arial" w:ascii="Arial" w:hAnsi="Arial"/>
                <w:b/>
                <w:bCs/>
                <w:color w:val="000000"/>
              </w:rPr>
              <w:t>have not</w:t>
            </w:r>
            <w:r>
              <w:rPr>
                <w:rFonts w:cs="Arial" w:ascii="Arial" w:hAnsi="Arial"/>
                <w:color w:val="000000"/>
              </w:rPr>
              <w:t xml:space="preserve"> been satisfied on or before the applicable Reference Entity CP End Date on the Business Day immediately following the Reference Entity CP End Date.</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r>
          </w:p>
          <w:p>
            <w:pPr>
              <w:pStyle w:val="Normal"/>
              <w:tabs>
                <w:tab w:val="clear" w:pos="720"/>
                <w:tab w:val="left" w:pos="-1440" w:leader="none"/>
                <w:tab w:val="left" w:pos="-720" w:leader="none"/>
                <w:tab w:val="left" w:pos="0" w:leader="none"/>
              </w:tabs>
              <w:jc w:val="both"/>
              <w:rPr>
                <w:rFonts w:ascii="Arial" w:hAnsi="Arial" w:cs="Arial"/>
                <w:position w:val="-7"/>
              </w:rPr>
            </w:pPr>
            <w:r>
              <w:rPr>
                <w:rFonts w:cs="Arial" w:ascii="Arial" w:hAnsi="Arial"/>
                <w:position w:val="-7"/>
              </w:rPr>
              <w:t>For the avoidance of doubt, (i) in the event that a Reference Entity is deleted from Schedule A in accordance with (b) above both parties rights and obligations under the Transaction relating to such Reference Entity shall be deemed fully and finally discharged without any further action or notice by the parties hereto; and (ii) in the event that two or more of the Reference Entities specified in Annex A merge, consolidate, amalgamate, or an existing Reference Entity or new entity otherwise assumes all, or substantially all, of the obligations of a Reference Entity (or Reference Entities), whether by operation of law or pursuant to any agreement, as determined by the Calculation Agent (after consultation with the parties), the Floating Rate Payer Calculation Amount of the Successor shall, as of and from the date of the relevant event, be the aggregate of the Floating Rate Payer Calculation Amounts of the Reference Entity or Entities which were participants in the relevant aforesaid event.</w:t>
            </w:r>
          </w:p>
          <w:p>
            <w:pPr>
              <w:pStyle w:val="Normal"/>
              <w:tabs>
                <w:tab w:val="clear" w:pos="720"/>
                <w:tab w:val="left" w:pos="-1440" w:leader="none"/>
                <w:tab w:val="left" w:pos="-720" w:leader="none"/>
                <w:tab w:val="left" w:pos="0" w:leader="none"/>
              </w:tabs>
              <w:jc w:val="both"/>
              <w:rPr>
                <w:rFonts w:ascii="Arial" w:hAnsi="Arial" w:cs="Arial"/>
                <w:position w:val="-7"/>
              </w:rPr>
            </w:pPr>
            <w:r>
              <w:rPr>
                <w:rFonts w:cs="Arial" w:ascii="Arial" w:hAnsi="Arial"/>
                <w:position w:val="-7"/>
              </w:rPr>
            </w:r>
          </w:p>
          <w:p>
            <w:pPr>
              <w:pStyle w:val="Normal"/>
              <w:tabs>
                <w:tab w:val="clear" w:pos="720"/>
                <w:tab w:val="left" w:pos="-1440" w:leader="none"/>
                <w:tab w:val="left" w:pos="-720" w:leader="none"/>
                <w:tab w:val="left" w:pos="0" w:leader="none"/>
              </w:tabs>
              <w:jc w:val="both"/>
              <w:rPr>
                <w:rFonts w:ascii="Arial" w:hAnsi="Arial" w:cs="Arial"/>
                <w:color w:val="FF00FF"/>
              </w:rPr>
            </w:pPr>
            <w:r>
              <w:rPr>
                <w:rFonts w:cs="Arial" w:ascii="Arial" w:hAnsi="Arial"/>
                <w:position w:val="-6"/>
              </w:rPr>
              <w:t>For the purposes of Section 2.2 of the Credit Derivatives Definitions a Reference Entity may only have a single Successor at any one time.</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jc w:val="both"/>
              <w:rPr>
                <w:rFonts w:ascii="Arial" w:hAnsi="Arial" w:cs="Arial"/>
                <w:color w:val="000000"/>
              </w:rPr>
            </w:pPr>
            <w:r>
              <w:rPr>
                <w:rFonts w:cs="Arial" w:ascii="Arial" w:hAnsi="Arial"/>
                <w:color w:val="000000"/>
              </w:rPr>
              <w:tab/>
              <w:t xml:space="preserve"> Calculation Agent:</w:t>
              <w:tab/>
              <w:tab/>
              <w:tab/>
              <w:t>[                ]</w:t>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rPr>
            </w:pPr>
            <w:r>
              <w:rPr>
                <w:rFonts w:cs="Arial" w:ascii="Arial" w:hAnsi="Arial"/>
              </w:rPr>
              <w:t>Reference Obligations:</w:t>
              <w:tab/>
            </w:r>
          </w:p>
        </w:tc>
        <w:tc>
          <w:tcPr>
            <w:tcW w:w="7152" w:type="dxa"/>
            <w:tcBorders/>
          </w:tcPr>
          <w:p>
            <w:pPr>
              <w:pStyle w:val="Normal"/>
              <w:tabs>
                <w:tab w:val="clear" w:pos="720"/>
                <w:tab w:val="left" w:pos="-1440" w:leader="none"/>
                <w:tab w:val="left" w:pos="-720" w:leader="none"/>
                <w:tab w:val="left" w:pos="0" w:leader="none"/>
              </w:tabs>
              <w:jc w:val="both"/>
              <w:rPr/>
            </w:pPr>
            <w:r>
              <w:rPr>
                <w:rFonts w:cs="Arial" w:ascii="Arial" w:hAnsi="Arial"/>
              </w:rPr>
              <w:t>In respect of each Reference Entity listed in Schedule A, one or more obligations (not to exceed three) of the relevant Reference Entity (whether as principal or surety or otherwise), as selected by the Buyer in its absolute discretion and notified to Seller on or before the fifth (5</w:t>
            </w:r>
            <w:r>
              <w:rPr>
                <w:rFonts w:cs="Arial" w:ascii="Arial" w:hAnsi="Arial"/>
                <w:vertAlign w:val="superscript"/>
              </w:rPr>
              <w:t>th</w:t>
            </w:r>
            <w:r>
              <w:rPr>
                <w:rFonts w:cs="Arial" w:ascii="Arial" w:hAnsi="Arial"/>
              </w:rPr>
              <w:t xml:space="preserve">) Business Day immediately preceding the applicable Valuation Date that are in the form of a Bond or Loan, and that:  </w:t>
            </w:r>
          </w:p>
          <w:p>
            <w:pPr>
              <w:pStyle w:val="Normal"/>
              <w:numPr>
                <w:ilvl w:val="0"/>
                <w:numId w:val="9"/>
              </w:numPr>
              <w:tabs>
                <w:tab w:val="clear" w:pos="720"/>
                <w:tab w:val="left" w:pos="-1440" w:leader="none"/>
                <w:tab w:val="left" w:pos="-720" w:leader="none"/>
                <w:tab w:val="left" w:pos="0" w:leader="none"/>
              </w:tabs>
              <w:spacing w:before="120" w:after="0"/>
              <w:ind w:hanging="357" w:start="357" w:end="0"/>
              <w:jc w:val="both"/>
              <w:rPr>
                <w:rFonts w:ascii="Arial" w:hAnsi="Arial" w:cs="Arial"/>
              </w:rPr>
            </w:pPr>
            <w:r>
              <w:rPr>
                <w:rFonts w:cs="Arial" w:ascii="Arial" w:hAnsi="Arial"/>
              </w:rPr>
              <w:t xml:space="preserve">rank at least pari passu in priority of payment with obligations of the Reference Entity that are neither subordinated by their terms (or otherwise) nor secured; </w:t>
            </w:r>
          </w:p>
          <w:p>
            <w:pPr>
              <w:pStyle w:val="Normal"/>
              <w:numPr>
                <w:ilvl w:val="0"/>
                <w:numId w:val="9"/>
              </w:numPr>
              <w:tabs>
                <w:tab w:val="clear" w:pos="720"/>
                <w:tab w:val="left" w:pos="-1440" w:leader="none"/>
                <w:tab w:val="left" w:pos="-720" w:leader="none"/>
                <w:tab w:val="left" w:pos="0" w:leader="none"/>
              </w:tabs>
              <w:spacing w:before="120" w:after="0"/>
              <w:ind w:hanging="357" w:start="357" w:end="0"/>
              <w:jc w:val="both"/>
              <w:rPr>
                <w:rFonts w:ascii="Arial" w:hAnsi="Arial" w:cs="Arial"/>
                <w:color w:val="000000"/>
              </w:rPr>
            </w:pPr>
            <w:r>
              <w:rPr>
                <w:rFonts w:cs="Arial" w:ascii="Arial" w:hAnsi="Arial"/>
              </w:rPr>
              <w:t xml:space="preserve">are payable in a Standard Specified Currency; </w:t>
            </w:r>
          </w:p>
          <w:p>
            <w:pPr>
              <w:pStyle w:val="Normal"/>
              <w:numPr>
                <w:ilvl w:val="0"/>
                <w:numId w:val="9"/>
              </w:numPr>
              <w:tabs>
                <w:tab w:val="clear" w:pos="720"/>
                <w:tab w:val="left" w:pos="-1440" w:leader="none"/>
                <w:tab w:val="left" w:pos="-720" w:leader="none"/>
                <w:tab w:val="left" w:pos="0" w:leader="none"/>
              </w:tabs>
              <w:spacing w:before="120" w:after="0"/>
              <w:ind w:hanging="357" w:start="357" w:end="0"/>
              <w:jc w:val="both"/>
              <w:rPr>
                <w:rFonts w:ascii="Arial" w:hAnsi="Arial" w:cs="Arial"/>
                <w:color w:val="000000"/>
              </w:rPr>
            </w:pPr>
            <w:r>
              <w:rPr>
                <w:rFonts w:cs="Arial" w:ascii="Arial" w:hAnsi="Arial"/>
              </w:rPr>
              <w:t>are Transferable;</w:t>
            </w:r>
          </w:p>
          <w:p>
            <w:pPr>
              <w:pStyle w:val="Normal"/>
              <w:numPr>
                <w:ilvl w:val="0"/>
                <w:numId w:val="9"/>
              </w:numPr>
              <w:tabs>
                <w:tab w:val="clear" w:pos="720"/>
                <w:tab w:val="left" w:pos="-1440" w:leader="none"/>
                <w:tab w:val="left" w:pos="-720" w:leader="none"/>
                <w:tab w:val="left" w:pos="0" w:leader="none"/>
              </w:tabs>
              <w:spacing w:before="120" w:after="0"/>
              <w:ind w:hanging="357" w:start="357" w:end="0"/>
              <w:jc w:val="both"/>
              <w:rPr>
                <w:rFonts w:ascii="Arial" w:hAnsi="Arial" w:cs="Arial"/>
                <w:color w:val="000000"/>
              </w:rPr>
            </w:pPr>
            <w:r>
              <w:rPr>
                <w:rFonts w:cs="Arial" w:ascii="Arial" w:hAnsi="Arial"/>
              </w:rPr>
              <w:t>are Not Contingent;</w:t>
            </w:r>
          </w:p>
          <w:p>
            <w:pPr>
              <w:pStyle w:val="Normal"/>
              <w:numPr>
                <w:ilvl w:val="0"/>
                <w:numId w:val="9"/>
              </w:numPr>
              <w:tabs>
                <w:tab w:val="clear" w:pos="720"/>
                <w:tab w:val="left" w:pos="-1440" w:leader="none"/>
                <w:tab w:val="left" w:pos="-720" w:leader="none"/>
                <w:tab w:val="left" w:pos="0" w:leader="none"/>
              </w:tabs>
              <w:spacing w:before="120" w:after="0"/>
              <w:ind w:hanging="357" w:start="357" w:end="0"/>
              <w:jc w:val="both"/>
              <w:rPr>
                <w:rFonts w:ascii="Arial" w:hAnsi="Arial" w:cs="Arial"/>
                <w:color w:val="000000"/>
              </w:rPr>
            </w:pPr>
            <w:r>
              <w:rPr>
                <w:rFonts w:cs="Arial" w:ascii="Arial" w:hAnsi="Arial"/>
              </w:rPr>
              <w:t>in the case of Loans, are Assignable Loans or Consent Required Loans;</w:t>
            </w:r>
          </w:p>
          <w:p>
            <w:pPr>
              <w:pStyle w:val="Normal"/>
              <w:numPr>
                <w:ilvl w:val="0"/>
                <w:numId w:val="9"/>
              </w:numPr>
              <w:tabs>
                <w:tab w:val="clear" w:pos="720"/>
                <w:tab w:val="left" w:pos="-1440" w:leader="none"/>
                <w:tab w:val="left" w:pos="-720" w:leader="none"/>
                <w:tab w:val="left" w:pos="0" w:leader="none"/>
              </w:tabs>
              <w:spacing w:before="120" w:after="0"/>
              <w:ind w:hanging="357" w:start="357" w:end="0"/>
              <w:jc w:val="both"/>
              <w:rPr>
                <w:rFonts w:ascii="Arial" w:hAnsi="Arial" w:cs="Arial"/>
                <w:color w:val="000000"/>
              </w:rPr>
            </w:pPr>
            <w:r>
              <w:rPr>
                <w:rFonts w:cs="Arial" w:ascii="Arial" w:hAnsi="Arial"/>
              </w:rPr>
              <w:t xml:space="preserve">in the case of Bonds, are Not Bearer; and </w:t>
            </w:r>
          </w:p>
          <w:p>
            <w:pPr>
              <w:pStyle w:val="Normal"/>
              <w:numPr>
                <w:ilvl w:val="0"/>
                <w:numId w:val="9"/>
              </w:numPr>
              <w:tabs>
                <w:tab w:val="clear" w:pos="720"/>
                <w:tab w:val="left" w:pos="-1440" w:leader="none"/>
                <w:tab w:val="left" w:pos="-720" w:leader="none"/>
                <w:tab w:val="left" w:pos="0" w:leader="none"/>
              </w:tabs>
              <w:spacing w:before="120" w:after="0"/>
              <w:ind w:hanging="357" w:start="357" w:end="0"/>
              <w:jc w:val="both"/>
              <w:rPr>
                <w:rFonts w:ascii="Arial" w:hAnsi="Arial" w:cs="Arial"/>
                <w:color w:val="000000"/>
              </w:rPr>
            </w:pPr>
            <w:r>
              <w:rPr>
                <w:rFonts w:cs="Arial" w:ascii="Arial" w:hAnsi="Arial"/>
              </w:rPr>
              <w:t>that have a remaining maturity from the applicable Valuation Date of not greater than 30 years;</w:t>
            </w:r>
          </w:p>
          <w:p>
            <w:pPr>
              <w:pStyle w:val="Header"/>
              <w:tabs>
                <w:tab w:val="clear" w:pos="4320"/>
                <w:tab w:val="clear" w:pos="8640"/>
                <w:tab w:val="left" w:pos="-1440" w:leader="none"/>
                <w:tab w:val="left" w:pos="-720" w:leader="none"/>
                <w:tab w:val="left" w:pos="0" w:leader="none"/>
              </w:tabs>
              <w:spacing w:before="120" w:after="0"/>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Reference Price:</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100% for each Reference Obligation</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Credit Protection Trigger Level:</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US$270,000,000</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Credit Protection Limit:</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US$730,000,000</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jc w:val="both"/>
              <w:rPr>
                <w:rFonts w:ascii="Arial" w:hAnsi="Arial" w:cs="Arial"/>
                <w:b/>
                <w:bCs/>
                <w:color w:val="000000"/>
              </w:rPr>
            </w:pPr>
            <w:r>
              <w:rPr>
                <w:rFonts w:cs="Arial" w:ascii="Arial" w:hAnsi="Arial"/>
                <w:b/>
                <w:bCs/>
                <w:color w:val="000000"/>
              </w:rPr>
              <w:t>2.</w:t>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b/>
                <w:bCs/>
                <w:color w:val="000000"/>
                <w:u w:val="single"/>
              </w:rPr>
            </w:pPr>
            <w:r>
              <w:rPr>
                <w:rFonts w:cs="Arial" w:ascii="Arial" w:hAnsi="Arial"/>
                <w:b/>
                <w:bCs/>
                <w:color w:val="000000"/>
                <w:u w:val="single"/>
              </w:rPr>
              <w:t>Fixed Payments:</w:t>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b/>
                <w:bCs/>
                <w:color w:val="000000"/>
                <w:u w:val="single"/>
              </w:rPr>
            </w:pPr>
            <w:r>
              <w:rPr>
                <w:rFonts w:cs="Arial" w:ascii="Arial" w:hAnsi="Arial"/>
                <w:b/>
                <w:bCs/>
                <w:color w:val="000000"/>
                <w:u w:val="single"/>
              </w:rPr>
            </w:r>
          </w:p>
        </w:tc>
      </w:tr>
      <w:tr>
        <w:trPr>
          <w:trHeight w:val="321" w:hRule="atLeast"/>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Fixed Rate Payer</w:t>
            </w:r>
          </w:p>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Calculation Amount:</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position w:val="-6"/>
              </w:rPr>
              <w:t>US$730,000,000</w:t>
            </w:r>
            <w:r>
              <w:rPr>
                <w:rFonts w:cs="Arial" w:ascii="Arial" w:hAnsi="Arial"/>
                <w:i/>
                <w:color w:val="0000FF"/>
                <w:position w:val="-6"/>
              </w:rPr>
              <w:t>;</w:t>
            </w:r>
            <w:r>
              <w:rPr>
                <w:rFonts w:cs="Arial" w:ascii="Arial" w:hAnsi="Arial"/>
                <w:position w:val="-6"/>
              </w:rPr>
              <w:t xml:space="preserve"> </w:t>
            </w:r>
            <w:r>
              <w:rPr>
                <w:rFonts w:cs="Arial" w:ascii="Arial" w:hAnsi="Arial"/>
                <w:b/>
                <w:i/>
                <w:position w:val="-6"/>
              </w:rPr>
              <w:t>provided that</w:t>
            </w:r>
            <w:r>
              <w:rPr>
                <w:rFonts w:cs="Arial" w:ascii="Arial" w:hAnsi="Arial"/>
                <w:position w:val="-6"/>
              </w:rPr>
              <w:t xml:space="preserve"> the ‘Fixed Rate Payer Calculation Amount’  shall, as of and from each Fixed Rate Payer Payment Date, be deemed reduced by the Fixed Payment Amortization Amount (if any). Such reduced amount shall be deemed to be the ‘Fixed Rate Payer Calculation Amount’ as of and from the applicable Fixed Rate Payer Payment Date.</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rPr>
                <w:rFonts w:ascii="Arial" w:hAnsi="Arial" w:cs="Arial"/>
                <w:color w:val="000000"/>
              </w:rPr>
            </w:pPr>
            <w:r>
              <w:rPr>
                <w:rFonts w:cs="Arial" w:ascii="Arial" w:hAnsi="Arial"/>
                <w:color w:val="000000"/>
              </w:rPr>
              <w:t>Fixed Payment Amortization Amount:</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means the sum of Reference Entity Amortization Amounts calculated in respect of Event Determination Dates occurring prior to the relevant Fixed Rate Payer Payment Date and on or after the immediately preceding Fixed Rate Payer Payment Date.</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rPr>
                <w:rFonts w:ascii="Arial" w:hAnsi="Arial" w:cs="Arial"/>
                <w:color w:val="000000"/>
              </w:rPr>
            </w:pPr>
            <w:r>
              <w:rPr>
                <w:rFonts w:cs="Arial" w:ascii="Arial" w:hAnsi="Arial"/>
                <w:color w:val="000000"/>
              </w:rPr>
              <w:t>Reference Entity Amortization Amount:</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position w:val="-6"/>
              </w:rPr>
              <w:t>means in respect of a Reference Entity and an Event Determination Date, (a) in the event that the applicable Cash Protection Amount determined with respect to the Reference Entity in respect of which the relevant Event Determination Date has occurred is a negative number, the Recovery Amount determined in respect of such Reference Entity and (b) in the event that  the applicable Cash Protection Amount determined with respect to the Reference Entity in respect of which the relevant Event Determination Date has occurred is zero or a positive number, the Floating Rate Payer Calculation Amount of the applicable Reference Entity.</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rPr>
                <w:rFonts w:ascii="Arial" w:hAnsi="Arial" w:cs="Arial"/>
                <w:color w:val="000000"/>
              </w:rPr>
            </w:pPr>
            <w:r>
              <w:rPr>
                <w:rFonts w:cs="Arial" w:ascii="Arial" w:hAnsi="Arial"/>
                <w:color w:val="000000"/>
              </w:rPr>
              <w:t>Fixed Rate Payer Payment Dates:</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Each 22 December, 22 March, 22 June, 22 September commencing on the Effective Date and ending on the Fixed Rate Payer Payment Date immediately preceding the Termination Date.</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r>
          </w:p>
          <w:p>
            <w:pPr>
              <w:pStyle w:val="Normal"/>
              <w:tabs>
                <w:tab w:val="clear" w:pos="720"/>
                <w:tab w:val="left" w:pos="-1440" w:leader="none"/>
                <w:tab w:val="left" w:pos="-720" w:leader="none"/>
                <w:tab w:val="left" w:pos="0" w:leader="none"/>
              </w:tabs>
              <w:jc w:val="both"/>
              <w:rPr/>
            </w:pPr>
            <w:r>
              <w:rPr>
                <w:rFonts w:cs="Arial" w:ascii="Arial" w:hAnsi="Arial"/>
                <w:color w:val="000000"/>
              </w:rPr>
              <w:t xml:space="preserve">For the avoidance of doubt, Fixed Payments under this Transaction shall be made quarterly in advance with the final Fixed Rate Payer Payment Date being the scheduled Fixed Rate Payer Payment Date occurring immediately before the Termination Date notwithstanding anything to the contrary contained in the Credit Derivatives Definitions (including without limitation Section 2.10 </w:t>
            </w:r>
            <w:r>
              <w:rPr>
                <w:rFonts w:cs="Arial" w:ascii="Arial" w:hAnsi="Arial"/>
                <w:position w:val="-6"/>
              </w:rPr>
              <w:t>of the Credit Derivatives Definitions</w:t>
            </w:r>
            <w:r>
              <w:rPr>
                <w:rFonts w:cs="Arial" w:ascii="Arial" w:hAnsi="Arial"/>
                <w:color w:val="000000"/>
              </w:rPr>
              <w:t>)</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r>
          </w:p>
          <w:p>
            <w:pPr>
              <w:pStyle w:val="Normal"/>
              <w:tabs>
                <w:tab w:val="clear" w:pos="720"/>
                <w:tab w:val="left" w:pos="-1440" w:leader="none"/>
                <w:tab w:val="left" w:pos="-720" w:leader="none"/>
                <w:tab w:val="left" w:pos="0" w:leader="none"/>
              </w:tabs>
              <w:jc w:val="both"/>
              <w:rPr/>
            </w:pPr>
            <w:r>
              <w:rPr>
                <w:rFonts w:cs="Arial" w:ascii="Arial" w:hAnsi="Arial"/>
              </w:rPr>
              <w:t>Notwithstanding the foregoing or anything contained in the Credit Derivatives Definitions, upon the occurrence of an Event Determination Date, in the event that the immediately following scheduled Fixed Rate Payer Payment Date occurs prior to the relevant Final Valuation Date of the Reference Obligations of the Reference Entity (each an “</w:t>
            </w:r>
            <w:r>
              <w:rPr>
                <w:rFonts w:cs="Arial" w:ascii="Arial" w:hAnsi="Arial"/>
                <w:b/>
                <w:bCs/>
              </w:rPr>
              <w:t>Overlap Reference Entity</w:t>
            </w:r>
            <w:r>
              <w:rPr>
                <w:rFonts w:cs="Arial" w:ascii="Arial" w:hAnsi="Arial"/>
              </w:rPr>
              <w:t>”) in respect of which the Event Determination Date has occurred, the Fixed Amount payable in respect of such Fixed Rate Payer Payment Date shall be paid in accordance with the following:</w:t>
            </w:r>
          </w:p>
          <w:p>
            <w:pPr>
              <w:pStyle w:val="Normal"/>
              <w:tabs>
                <w:tab w:val="clear" w:pos="720"/>
                <w:tab w:val="left" w:pos="-1440" w:leader="none"/>
                <w:tab w:val="left" w:pos="-720" w:leader="none"/>
                <w:tab w:val="left" w:pos="0" w:leader="none"/>
              </w:tabs>
              <w:jc w:val="both"/>
              <w:rPr>
                <w:rFonts w:ascii="Arial" w:hAnsi="Arial" w:cs="Arial"/>
              </w:rPr>
            </w:pPr>
            <w:r>
              <w:rPr>
                <w:rFonts w:cs="Arial" w:ascii="Arial" w:hAnsi="Arial"/>
              </w:rPr>
            </w:r>
          </w:p>
          <w:p>
            <w:pPr>
              <w:pStyle w:val="Normal"/>
              <w:tabs>
                <w:tab w:val="clear" w:pos="720"/>
                <w:tab w:val="left" w:pos="-1440" w:leader="none"/>
                <w:tab w:val="left" w:pos="-720" w:leader="none"/>
                <w:tab w:val="left" w:pos="0" w:leader="none"/>
                <w:tab w:val="left" w:pos="654" w:leader="none"/>
              </w:tabs>
              <w:ind w:start="654" w:end="0"/>
              <w:jc w:val="both"/>
              <w:rPr>
                <w:rFonts w:ascii="Arial" w:hAnsi="Arial" w:cs="Arial"/>
                <w:color w:val="000000"/>
              </w:rPr>
            </w:pPr>
            <w:r>
              <w:rPr>
                <w:rFonts w:cs="Arial" w:ascii="Arial" w:hAnsi="Arial"/>
              </w:rPr>
              <w:t xml:space="preserve">(a) Buyer shall pay an amount on the Fixed Rate Payer Payment Date calculated in accordance with Section 5.1 (b) of the Credit Derivatives Definitions </w:t>
            </w:r>
            <w:r>
              <w:rPr>
                <w:rFonts w:cs="Arial" w:ascii="Arial" w:hAnsi="Arial"/>
                <w:b/>
                <w:bCs/>
                <w:i/>
                <w:iCs/>
              </w:rPr>
              <w:t>but</w:t>
            </w:r>
            <w:r>
              <w:rPr>
                <w:rFonts w:cs="Arial" w:ascii="Arial" w:hAnsi="Arial"/>
                <w:i/>
                <w:iCs/>
              </w:rPr>
              <w:t xml:space="preserve"> </w:t>
            </w:r>
            <w:r>
              <w:rPr>
                <w:rFonts w:cs="Arial" w:ascii="Arial" w:hAnsi="Arial"/>
              </w:rPr>
              <w:t>referencing the Undisputed Calculation Amount; and</w:t>
            </w:r>
          </w:p>
          <w:p>
            <w:pPr>
              <w:pStyle w:val="Normal"/>
              <w:tabs>
                <w:tab w:val="clear" w:pos="720"/>
                <w:tab w:val="left" w:pos="-1440" w:leader="none"/>
                <w:tab w:val="left" w:pos="-720" w:leader="none"/>
                <w:tab w:val="left" w:pos="0" w:leader="none"/>
                <w:tab w:val="left" w:pos="654" w:leader="none"/>
              </w:tabs>
              <w:ind w:start="654" w:end="0"/>
              <w:jc w:val="both"/>
              <w:rPr>
                <w:rFonts w:ascii="Arial" w:hAnsi="Arial" w:cs="Arial"/>
                <w:color w:val="000000"/>
              </w:rPr>
            </w:pPr>
            <w:r>
              <w:rPr>
                <w:rFonts w:cs="Arial" w:ascii="Arial" w:hAnsi="Arial"/>
                <w:color w:val="000000"/>
              </w:rPr>
            </w:r>
          </w:p>
          <w:p>
            <w:pPr>
              <w:pStyle w:val="Normal"/>
              <w:tabs>
                <w:tab w:val="clear" w:pos="720"/>
                <w:tab w:val="left" w:pos="-1440" w:leader="none"/>
                <w:tab w:val="left" w:pos="-720" w:leader="none"/>
                <w:tab w:val="left" w:pos="1104" w:leader="none"/>
              </w:tabs>
              <w:ind w:hanging="360" w:start="1104" w:end="0"/>
              <w:jc w:val="both"/>
              <w:rPr>
                <w:rFonts w:ascii="Arial" w:hAnsi="Arial" w:cs="Arial"/>
                <w:color w:val="FF00FF"/>
              </w:rPr>
            </w:pPr>
            <w:r>
              <w:rPr>
                <w:rFonts w:cs="Arial" w:ascii="Arial" w:hAnsi="Arial"/>
                <w:color w:val="000000"/>
              </w:rPr>
              <w:t xml:space="preserve">(b) Buyer </w:t>
            </w:r>
            <w:r>
              <w:rPr>
                <w:rFonts w:cs="Arial" w:ascii="Arial" w:hAnsi="Arial"/>
              </w:rPr>
              <w:t xml:space="preserve">shall pay an amount on the Cash Settlement Date of each Overlap Reference Entity calculated in accordance with Section 5.1 (b) of the Credit Derivatives Definitions </w:t>
            </w:r>
            <w:r>
              <w:rPr>
                <w:rFonts w:cs="Arial" w:ascii="Arial" w:hAnsi="Arial"/>
                <w:b/>
                <w:bCs/>
                <w:i/>
                <w:iCs/>
              </w:rPr>
              <w:t>but</w:t>
            </w:r>
            <w:r>
              <w:rPr>
                <w:rFonts w:cs="Arial" w:ascii="Arial" w:hAnsi="Arial"/>
              </w:rPr>
              <w:t xml:space="preserve"> referencing the Cash Settlement Amount of the applicable Overlap Reference Entity;</w:t>
            </w:r>
          </w:p>
          <w:p>
            <w:pPr>
              <w:pStyle w:val="Normal"/>
              <w:tabs>
                <w:tab w:val="clear" w:pos="720"/>
                <w:tab w:val="left" w:pos="-1440" w:leader="none"/>
                <w:tab w:val="left" w:pos="-720" w:leader="none"/>
                <w:tab w:val="left" w:pos="0" w:leader="none"/>
              </w:tabs>
              <w:jc w:val="both"/>
              <w:rPr>
                <w:rFonts w:ascii="Arial" w:hAnsi="Arial" w:cs="Arial"/>
                <w:color w:val="000000"/>
              </w:rPr>
            </w:pPr>
            <w:r>
              <w:rPr>
                <w:rFonts w:eastAsia="Arial" w:cs="Arial" w:ascii="Arial" w:hAnsi="Arial"/>
                <w:color w:val="FF00FF"/>
              </w:rPr>
              <w:t xml:space="preserve"> </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Undisputed Calculation Amount:</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means the Fixed Rate Payer Calculation Amount (unadjusted by Reference Entity Amortization Amounts of Overlap Reference Entities)  on the Fixed Rate Payer Payment Date less the sum of Floating Rate Payer Calculation Amounts of</w:t>
            </w:r>
            <w:r>
              <w:rPr>
                <w:rFonts w:cs="Arial" w:ascii="Arial" w:hAnsi="Arial"/>
              </w:rPr>
              <w:t xml:space="preserve"> Overlap Reference Entities.</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Recovery Amount</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means in respect of a Reference Entity, the Floating Rate Payer Calculation Amount of such Reference Entity less the Cash Settlement Amount determined in respect of such Reference Entity.</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Fixed Rate:</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0.06%</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rPr>
                <w:rFonts w:ascii="Arial" w:hAnsi="Arial" w:cs="Arial"/>
                <w:color w:val="000000"/>
              </w:rPr>
            </w:pPr>
            <w:r>
              <w:rPr>
                <w:rFonts w:cs="Arial" w:ascii="Arial" w:hAnsi="Arial"/>
                <w:color w:val="000000"/>
              </w:rPr>
              <w:t>Fixed Rate Day Count Fraction:</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Actual/360</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jc w:val="both"/>
              <w:rPr>
                <w:rFonts w:ascii="Arial" w:hAnsi="Arial" w:cs="Arial"/>
                <w:b/>
                <w:bCs/>
                <w:color w:val="000000"/>
              </w:rPr>
            </w:pPr>
            <w:r>
              <w:rPr>
                <w:rFonts w:cs="Arial" w:ascii="Arial" w:hAnsi="Arial"/>
                <w:b/>
                <w:bCs/>
                <w:color w:val="000000"/>
              </w:rPr>
              <w:t>3.</w:t>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b/>
                <w:bCs/>
                <w:color w:val="000000"/>
                <w:u w:val="single"/>
              </w:rPr>
            </w:pPr>
            <w:r>
              <w:rPr>
                <w:rFonts w:cs="Arial" w:ascii="Arial" w:hAnsi="Arial"/>
                <w:b/>
                <w:bCs/>
                <w:color w:val="000000"/>
                <w:u w:val="single"/>
              </w:rPr>
              <w:t>Floating Payments:</w:t>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b/>
                <w:bCs/>
                <w:color w:val="000000"/>
                <w:u w:val="single"/>
              </w:rPr>
            </w:pPr>
            <w:r>
              <w:rPr>
                <w:rFonts w:cs="Arial" w:ascii="Arial" w:hAnsi="Arial"/>
                <w:b/>
                <w:bCs/>
                <w:color w:val="000000"/>
                <w:u w:val="single"/>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s>
              <w:rPr>
                <w:rFonts w:ascii="Arial" w:hAnsi="Arial" w:cs="Arial"/>
                <w:color w:val="000000"/>
              </w:rPr>
            </w:pPr>
            <w:r>
              <w:rPr>
                <w:rFonts w:cs="Arial" w:ascii="Arial" w:hAnsi="Arial"/>
                <w:color w:val="000000"/>
              </w:rPr>
              <w:t>Floating Rate Payer Calculation Amount:</w:t>
              <w:tab/>
            </w:r>
          </w:p>
        </w:tc>
        <w:tc>
          <w:tcPr>
            <w:tcW w:w="7152" w:type="dxa"/>
            <w:tcBorders/>
          </w:tcPr>
          <w:p>
            <w:pPr>
              <w:pStyle w:val="Normal"/>
              <w:tabs>
                <w:tab w:val="clear" w:pos="720"/>
                <w:tab w:val="left" w:pos="-1440" w:leader="none"/>
                <w:tab w:val="left" w:pos="-720" w:leader="none"/>
                <w:tab w:val="left" w:pos="0" w:leader="none"/>
              </w:tabs>
              <w:jc w:val="both"/>
              <w:rPr/>
            </w:pPr>
            <w:r>
              <w:rPr>
                <w:rFonts w:cs="Arial" w:ascii="Arial" w:hAnsi="Arial"/>
                <w:position w:val="-6"/>
              </w:rPr>
              <w:t>The amount specified under “Floating Rate Payer Calculation Amount” in Schedule A in respect of each Reference Entity.</w:t>
            </w:r>
            <w:r>
              <w:rPr>
                <w:rFonts w:cs="Arial" w:ascii="Arial" w:hAnsi="Arial"/>
                <w:color w:val="000000"/>
              </w:rPr>
              <w:t xml:space="preserve"> </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Conditions to Payment:</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Credit Event Notice Notifying Party:  Buyer or Seller</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pacing w:before="120" w:after="0"/>
              <w:ind w:start="720" w:end="0"/>
              <w:jc w:val="both"/>
              <w:rPr>
                <w:rFonts w:ascii="Arial" w:hAnsi="Arial" w:cs="Arial"/>
                <w:color w:val="000000"/>
              </w:rPr>
            </w:pPr>
            <w:r>
              <w:rPr>
                <w:rFonts w:cs="Arial" w:ascii="Arial" w:hAnsi="Arial"/>
                <w:color w:val="000000"/>
              </w:rPr>
              <w:t>Notwithstanding anything to the contrary contained in the Credit Derivatives Definitions, the Credit Event Notice must be in writing.</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Notice of Publicly Available Information Applicable;</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pacing w:before="120" w:after="0"/>
              <w:ind w:start="720" w:end="0"/>
              <w:jc w:val="both"/>
              <w:rPr>
                <w:rFonts w:ascii="Arial" w:hAnsi="Arial" w:cs="Arial"/>
                <w:color w:val="000000"/>
              </w:rPr>
            </w:pPr>
            <w:r>
              <w:rPr>
                <w:rFonts w:cs="Arial" w:ascii="Arial" w:hAnsi="Arial"/>
                <w:color w:val="000000"/>
              </w:rPr>
              <w:t>Public Sources: Standard Public Sources</w:t>
            </w:r>
          </w:p>
          <w:p>
            <w:pPr>
              <w:pStyle w:val="Normal"/>
              <w:tabs>
                <w:tab w:val="clear" w:pos="720"/>
                <w:tab w:val="left" w:pos="-1440" w:leader="none"/>
                <w:tab w:val="left" w:pos="-720" w:leader="none"/>
                <w:tab w:val="left" w:pos="0" w:leader="none"/>
              </w:tabs>
              <w:spacing w:before="120" w:after="0"/>
              <w:ind w:start="720" w:end="0"/>
              <w:jc w:val="both"/>
              <w:rPr>
                <w:rFonts w:ascii="Arial" w:hAnsi="Arial" w:cs="Arial"/>
                <w:color w:val="000000"/>
              </w:rPr>
            </w:pPr>
            <w:r>
              <w:rPr>
                <w:rFonts w:cs="Arial" w:ascii="Arial" w:hAnsi="Arial"/>
                <w:color w:val="000000"/>
              </w:rPr>
              <w:t>Specified Number: Two</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rPr>
            </w:pPr>
            <w:r>
              <w:rPr>
                <w:rFonts w:cs="Arial" w:ascii="Arial" w:hAnsi="Arial"/>
              </w:rPr>
              <w:t>For the avoidance of any doubt, the Conditions to Payment may be satisfied only once with respect to each Reference Entity.</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Credit Events:</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The following Credit Events shall apply to this Transaction in respect of each Reference Entity and Obligations of each Reference Entity:</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rPr>
            </w:pPr>
            <w:r>
              <w:rPr>
                <w:rFonts w:cs="Arial" w:ascii="Arial" w:hAnsi="Arial"/>
              </w:rPr>
              <w:t>Bankruptcy</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rPr>
            </w:pPr>
            <w:r>
              <w:rPr>
                <w:rFonts w:cs="Arial" w:ascii="Arial" w:hAnsi="Arial"/>
              </w:rPr>
              <w:t>Failure to Pay</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ind w:start="720" w:end="0"/>
              <w:jc w:val="both"/>
              <w:rPr>
                <w:rFonts w:ascii="Arial" w:hAnsi="Arial" w:cs="Arial"/>
              </w:rPr>
            </w:pPr>
            <w:r>
              <w:rPr>
                <w:rFonts w:cs="Arial" w:ascii="Arial" w:hAnsi="Arial"/>
              </w:rPr>
              <w:t>Payment Requirement:  US$ 1,000,000 or its equivalent in the relevant Obligation Currency as of the occurrence of the relevant Failure to Pay</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rPr>
            </w:pPr>
            <w:r>
              <w:rPr>
                <w:rFonts w:cs="Arial" w:ascii="Arial" w:hAnsi="Arial"/>
              </w:rPr>
              <w:t>Obligation Acceleration</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ind w:start="720" w:end="0"/>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rPr>
            </w:pPr>
            <w:r>
              <w:rPr>
                <w:rFonts w:cs="Arial" w:ascii="Arial" w:hAnsi="Arial"/>
              </w:rPr>
              <w:t>Restructuring</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ind w:hanging="22" w:start="742" w:end="0"/>
              <w:jc w:val="both"/>
              <w:rPr>
                <w:rFonts w:ascii="Arial" w:hAnsi="Arial" w:cs="Arial"/>
              </w:rPr>
            </w:pPr>
            <w:r>
              <w:rPr>
                <w:rFonts w:cs="Arial" w:ascii="Arial" w:hAnsi="Arial"/>
              </w:rPr>
              <w:t>Default Requirement:  US$ 10,000,000 or its equivalent in the relevant Obligation Currency as of the occurrence of the relevant Credit Event</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Obligations:</w:t>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 xml:space="preserve">Obligation Category: </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rPr>
            </w:pPr>
            <w:r>
              <w:rPr>
                <w:rFonts w:cs="Arial" w:ascii="Arial" w:hAnsi="Arial"/>
              </w:rPr>
              <w:t>Borrowed Money</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keepNext w:val="true"/>
              <w:keepLines/>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 xml:space="preserve">Obligation Characteristics: </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rPr>
            </w:pPr>
            <w:r>
              <w:rPr>
                <w:rFonts w:cs="Arial" w:ascii="Arial" w:hAnsi="Arial"/>
              </w:rPr>
              <w:t>Not applicable</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snapToGrid w:val="false"/>
              <w:ind w:hanging="34" w:end="0"/>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jc w:val="both"/>
              <w:rPr>
                <w:rFonts w:ascii="Arial" w:hAnsi="Arial" w:cs="Arial"/>
                <w:b/>
                <w:bCs/>
                <w:color w:val="000000"/>
              </w:rPr>
            </w:pPr>
            <w:r>
              <w:rPr>
                <w:rFonts w:cs="Arial" w:ascii="Arial" w:hAnsi="Arial"/>
                <w:b/>
                <w:bCs/>
                <w:color w:val="000000"/>
              </w:rPr>
              <w:t>4.</w:t>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b/>
                <w:bCs/>
                <w:u w:val="single"/>
              </w:rPr>
            </w:pPr>
            <w:r>
              <w:rPr>
                <w:rFonts w:cs="Arial" w:ascii="Arial" w:hAnsi="Arial"/>
                <w:b/>
                <w:bCs/>
                <w:u w:val="single"/>
              </w:rPr>
              <w:t>Settlement Terms:</w:t>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b/>
                <w:bCs/>
                <w:u w:val="single"/>
              </w:rPr>
            </w:pPr>
            <w:r>
              <w:rPr>
                <w:rFonts w:cs="Arial" w:ascii="Arial" w:hAnsi="Arial"/>
                <w:b/>
                <w:bCs/>
                <w:u w:val="single"/>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rPr>
            </w:pPr>
            <w:r>
              <w:rPr>
                <w:rFonts w:cs="Arial" w:ascii="Arial" w:hAnsi="Arial"/>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rPr>
            </w:pPr>
            <w:r>
              <w:rPr>
                <w:rFonts w:cs="Arial" w:ascii="Arial" w:hAnsi="Arial"/>
              </w:rPr>
              <w:t>Settlement Method:</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Cash Settlement (as amended in accordance with the ‘Cash Settlement Amendment’ provision below)</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r>
          </w:p>
          <w:p>
            <w:pPr>
              <w:pStyle w:val="Normal"/>
              <w:tabs>
                <w:tab w:val="clear" w:pos="720"/>
                <w:tab w:val="left" w:pos="-1440" w:leader="none"/>
                <w:tab w:val="left" w:pos="-720" w:leader="none"/>
                <w:tab w:val="left" w:pos="0" w:leader="none"/>
              </w:tabs>
              <w:jc w:val="both"/>
              <w:rPr>
                <w:rFonts w:ascii="Arial" w:hAnsi="Arial" w:cs="Arial"/>
                <w:position w:val="-7"/>
              </w:rPr>
            </w:pPr>
            <w:r>
              <w:rPr>
                <w:rFonts w:cs="Arial" w:ascii="Arial" w:hAnsi="Arial"/>
                <w:position w:val="-6"/>
              </w:rPr>
              <w:t>Notwithstanding anything to the contrary contained in the Credit Derivative Definitions, upon the occurrence of a Credit Event in respect of a Reference Entity or Obligations of a Reference Entity and satisfaction of all Conditions to Payment with respect to such Credit Event under the Transaction,  the Calculation Agent shall determine the applicable Cash Settlement Amount and Cash Protection Amount on the applicable Final Valuation Date.  If the applicable Cash Protection Amount is greater than zero, then Seller shall (subject to the ‘Cash Settlement Amendment’ provision below) pay to Buyer such amount  on the relevant Cash Settlement Date.</w:t>
            </w:r>
          </w:p>
          <w:p>
            <w:pPr>
              <w:pStyle w:val="Normal"/>
              <w:tabs>
                <w:tab w:val="clear" w:pos="720"/>
                <w:tab w:val="left" w:pos="-1440" w:leader="none"/>
                <w:tab w:val="left" w:pos="-720" w:leader="none"/>
                <w:tab w:val="left" w:pos="0" w:leader="none"/>
              </w:tabs>
              <w:jc w:val="both"/>
              <w:rPr>
                <w:rFonts w:ascii="Arial" w:hAnsi="Arial" w:cs="Arial"/>
                <w:color w:val="000000"/>
                <w:position w:val="-7"/>
              </w:rPr>
            </w:pPr>
            <w:r>
              <w:rPr>
                <w:rFonts w:cs="Arial" w:ascii="Arial" w:hAnsi="Arial"/>
                <w:color w:val="000000"/>
                <w:position w:val="-7"/>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Cash Settlement Amendment:</w:t>
            </w:r>
          </w:p>
        </w:tc>
        <w:tc>
          <w:tcPr>
            <w:tcW w:w="7152" w:type="dxa"/>
            <w:tcBorders/>
          </w:tcPr>
          <w:p>
            <w:pPr>
              <w:pStyle w:val="Header"/>
              <w:tabs>
                <w:tab w:val="clear" w:pos="4320"/>
                <w:tab w:val="clear" w:pos="8640"/>
              </w:tabs>
              <w:jc w:val="both"/>
              <w:rPr>
                <w:rFonts w:ascii="Arial" w:hAnsi="Arial" w:cs="Arial"/>
                <w:position w:val="-7"/>
              </w:rPr>
            </w:pPr>
            <w:r>
              <w:rPr>
                <w:rFonts w:cs="Arial" w:ascii="Arial" w:hAnsi="Arial"/>
                <w:position w:val="-6"/>
              </w:rPr>
              <w:t>For the purposes of the Transaction Section 7.1 of the Credit Derivative Definitions is hereby deleted in its entirety and replaced by the following:</w:t>
            </w:r>
          </w:p>
          <w:p>
            <w:pPr>
              <w:pStyle w:val="Header"/>
              <w:tabs>
                <w:tab w:val="clear" w:pos="4320"/>
                <w:tab w:val="clear" w:pos="8640"/>
              </w:tabs>
              <w:jc w:val="both"/>
              <w:rPr>
                <w:rFonts w:ascii="Arial" w:hAnsi="Arial" w:cs="Arial"/>
                <w:position w:val="-7"/>
              </w:rPr>
            </w:pPr>
            <w:r>
              <w:rPr>
                <w:rFonts w:cs="Arial" w:ascii="Arial" w:hAnsi="Arial"/>
                <w:position w:val="-7"/>
              </w:rPr>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position w:val="-6"/>
              </w:rPr>
              <w:t>“</w:t>
            </w:r>
            <w:r>
              <w:rPr>
                <w:rFonts w:cs="Arial" w:ascii="Arial" w:hAnsi="Arial"/>
                <w:b/>
                <w:position w:val="-6"/>
              </w:rPr>
              <w:t>Section 7.1 Cash Settlement.</w:t>
            </w:r>
            <w:r>
              <w:rPr>
                <w:rFonts w:cs="Arial" w:ascii="Arial" w:hAnsi="Arial"/>
                <w:position w:val="-6"/>
              </w:rPr>
              <w:t xml:space="preserve">  If “Cash Settlement” is specified in relation to a Credit Derivative Transaction, Seller shall, subject to Section 3.1, pay to Buyer the applicable Cash Protection Amount, if positive, on the Cash Settlement Date;  </w:t>
            </w:r>
            <w:r>
              <w:rPr>
                <w:rFonts w:cs="Arial" w:ascii="Arial" w:hAnsi="Arial"/>
                <w:b/>
                <w:i/>
                <w:position w:val="-6"/>
              </w:rPr>
              <w:t xml:space="preserve">provided that  </w:t>
            </w:r>
            <w:r>
              <w:rPr>
                <w:rFonts w:cs="Arial" w:ascii="Arial" w:hAnsi="Arial"/>
                <w:position w:val="-6"/>
              </w:rPr>
              <w:t>if on any Final Valuation Date the sum of (a) the Cumulative Protection Amount and (b) the Cash Protection Amount(s) determined on such Final Valuation Date equals or exceeds the Credit Protection Limit, then the Cash Protection Amount, or the sum of Cash Protection Amounts (as the case may be), payable on the related Cash Settlement Date (the “</w:t>
            </w:r>
            <w:r>
              <w:rPr>
                <w:rFonts w:cs="Arial" w:ascii="Arial" w:hAnsi="Arial"/>
                <w:b/>
                <w:position w:val="-6"/>
              </w:rPr>
              <w:t>Credit Protection Termination Date</w:t>
            </w:r>
            <w:r>
              <w:rPr>
                <w:rFonts w:cs="Arial" w:ascii="Arial" w:hAnsi="Arial"/>
                <w:position w:val="-6"/>
              </w:rPr>
              <w:t>”), shall be reduced by such excess (if any).</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pacing w:before="120" w:after="0"/>
              <w:jc w:val="both"/>
              <w:rPr/>
            </w:pPr>
            <w:r>
              <w:rPr>
                <w:rFonts w:cs="Arial" w:ascii="Arial" w:hAnsi="Arial"/>
                <w:position w:val="-6"/>
              </w:rPr>
              <w:t>For the avoidance of doubt, if the applicable Cash Protection Amount is negative no amount shall be payable by Seller to Buyer.</w:t>
            </w:r>
            <w:r>
              <w:rPr>
                <w:rFonts w:cs="Arial" w:ascii="Arial" w:hAnsi="Arial"/>
                <w:color w:val="000000"/>
              </w:rPr>
              <w:t>”</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Cash Protection Amount:</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 xml:space="preserve">An amount in US$ determined by the Calculation Agent in accordance with the following formula:  </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r>
          </w:p>
          <w:p>
            <w:pPr>
              <w:pStyle w:val="Normal"/>
              <w:tabs>
                <w:tab w:val="clear" w:pos="720"/>
                <w:tab w:val="left" w:pos="-1440" w:leader="none"/>
                <w:tab w:val="left" w:pos="-720" w:leader="none"/>
                <w:tab w:val="left" w:pos="0" w:leader="none"/>
              </w:tabs>
              <w:jc w:val="center"/>
              <w:rPr>
                <w:rFonts w:ascii="Arial" w:hAnsi="Arial" w:cs="Arial"/>
                <w:color w:val="000000"/>
              </w:rPr>
            </w:pPr>
            <w:r>
              <w:rPr>
                <w:rFonts w:cs="Arial" w:ascii="Arial" w:hAnsi="Arial"/>
                <w:color w:val="000000"/>
              </w:rPr>
              <w:t>CPSA – (CPTL + CPA)</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Where:</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r>
          </w:p>
          <w:p>
            <w:pPr>
              <w:pStyle w:val="Normal"/>
              <w:tabs>
                <w:tab w:val="clear" w:pos="720"/>
                <w:tab w:val="left" w:pos="-1440" w:leader="none"/>
                <w:tab w:val="left" w:pos="-720" w:leader="none"/>
                <w:tab w:val="left" w:pos="0" w:leader="none"/>
              </w:tabs>
              <w:jc w:val="both"/>
              <w:rPr/>
            </w:pPr>
            <w:r>
              <w:rPr>
                <w:rFonts w:cs="Arial" w:ascii="Arial" w:hAnsi="Arial"/>
                <w:b/>
                <w:color w:val="000000"/>
              </w:rPr>
              <w:t>Cumulative Portfolio Settlement Amount</w:t>
            </w:r>
            <w:r>
              <w:rPr>
                <w:rFonts w:cs="Arial" w:ascii="Arial" w:hAnsi="Arial"/>
                <w:color w:val="000000"/>
              </w:rPr>
              <w:t xml:space="preserve"> (“</w:t>
            </w:r>
            <w:r>
              <w:rPr>
                <w:rFonts w:cs="Arial" w:ascii="Arial" w:hAnsi="Arial"/>
                <w:b/>
                <w:color w:val="000000"/>
              </w:rPr>
              <w:t>CPSA</w:t>
            </w:r>
            <w:r>
              <w:rPr>
                <w:rFonts w:cs="Arial" w:ascii="Arial" w:hAnsi="Arial"/>
                <w:color w:val="000000"/>
              </w:rPr>
              <w:t xml:space="preserve">”) is, the sum of all Cash Settlement Amounts calculated with respect to the Transaction </w:t>
            </w:r>
            <w:r>
              <w:rPr>
                <w:rFonts w:cs="Arial" w:ascii="Arial" w:hAnsi="Arial"/>
                <w:b/>
                <w:i/>
                <w:color w:val="000000"/>
              </w:rPr>
              <w:t>up to and including</w:t>
            </w:r>
            <w:r>
              <w:rPr>
                <w:rFonts w:cs="Arial" w:ascii="Arial" w:hAnsi="Arial"/>
                <w:color w:val="000000"/>
              </w:rPr>
              <w:t xml:space="preserve"> the applicable Final Valuation Date;</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r>
          </w:p>
          <w:p>
            <w:pPr>
              <w:pStyle w:val="Normal"/>
              <w:tabs>
                <w:tab w:val="clear" w:pos="720"/>
                <w:tab w:val="left" w:pos="-1440" w:leader="none"/>
                <w:tab w:val="left" w:pos="-720" w:leader="none"/>
                <w:tab w:val="left" w:pos="0" w:leader="none"/>
              </w:tabs>
              <w:jc w:val="both"/>
              <w:rPr/>
            </w:pPr>
            <w:r>
              <w:rPr>
                <w:rFonts w:cs="Arial" w:ascii="Arial" w:hAnsi="Arial"/>
                <w:b/>
                <w:color w:val="000000"/>
              </w:rPr>
              <w:t>CPTL</w:t>
            </w:r>
            <w:r>
              <w:rPr>
                <w:rFonts w:cs="Arial" w:ascii="Arial" w:hAnsi="Arial"/>
                <w:color w:val="000000"/>
              </w:rPr>
              <w:t xml:space="preserve"> is, the </w:t>
            </w:r>
            <w:r>
              <w:rPr>
                <w:rFonts w:cs="Arial" w:ascii="Arial" w:hAnsi="Arial"/>
                <w:b/>
                <w:color w:val="000000"/>
              </w:rPr>
              <w:t>Credit Protection Trigger Level</w:t>
            </w:r>
            <w:r>
              <w:rPr>
                <w:rFonts w:cs="Arial" w:ascii="Arial" w:hAnsi="Arial"/>
                <w:color w:val="000000"/>
              </w:rPr>
              <w:t xml:space="preserve">; and </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r>
          </w:p>
          <w:p>
            <w:pPr>
              <w:pStyle w:val="Normal"/>
              <w:tabs>
                <w:tab w:val="clear" w:pos="720"/>
                <w:tab w:val="left" w:pos="-1440" w:leader="none"/>
                <w:tab w:val="left" w:pos="-720" w:leader="none"/>
                <w:tab w:val="left" w:pos="0" w:leader="none"/>
              </w:tabs>
              <w:jc w:val="both"/>
              <w:rPr/>
            </w:pPr>
            <w:r>
              <w:rPr>
                <w:rFonts w:cs="Arial" w:ascii="Arial" w:hAnsi="Arial"/>
                <w:b/>
                <w:position w:val="-6"/>
              </w:rPr>
              <w:t>Cumulative Protection Amount</w:t>
            </w:r>
            <w:r>
              <w:rPr>
                <w:rFonts w:cs="Arial" w:ascii="Arial" w:hAnsi="Arial"/>
                <w:position w:val="-6"/>
              </w:rPr>
              <w:t xml:space="preserve"> (“</w:t>
            </w:r>
            <w:r>
              <w:rPr>
                <w:rFonts w:cs="Arial" w:ascii="Arial" w:hAnsi="Arial"/>
                <w:b/>
                <w:position w:val="-6"/>
              </w:rPr>
              <w:t>CPA</w:t>
            </w:r>
            <w:r>
              <w:rPr>
                <w:rFonts w:cs="Arial" w:ascii="Arial" w:hAnsi="Arial"/>
                <w:position w:val="-6"/>
              </w:rPr>
              <w:t xml:space="preserve">”) is the sum of positive Cash Protection Amounts calculated with respect to the Transaction </w:t>
            </w:r>
            <w:r>
              <w:rPr>
                <w:rFonts w:cs="Arial" w:ascii="Arial" w:hAnsi="Arial"/>
                <w:b/>
                <w:i/>
                <w:position w:val="-6"/>
              </w:rPr>
              <w:t>up to but excluding</w:t>
            </w:r>
            <w:r>
              <w:rPr>
                <w:rFonts w:cs="Arial" w:ascii="Arial" w:hAnsi="Arial"/>
                <w:position w:val="-6"/>
              </w:rPr>
              <w:t xml:space="preserve"> the applicable Final Valuation Date.</w:t>
            </w:r>
            <w:r>
              <w:rPr>
                <w:rFonts w:cs="Arial" w:ascii="Arial" w:hAnsi="Arial"/>
                <w:color w:val="000000"/>
              </w:rPr>
              <w:t xml:space="preserve"> </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Valuation Date:</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Single Valuation Date:</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pacing w:before="120" w:after="0"/>
              <w:jc w:val="both"/>
              <w:rPr>
                <w:rFonts w:ascii="Arial" w:hAnsi="Arial" w:cs="Arial"/>
                <w:color w:val="000000"/>
              </w:rPr>
            </w:pPr>
            <w:r>
              <w:rPr>
                <w:rFonts w:cs="Arial" w:ascii="Arial" w:hAnsi="Arial"/>
              </w:rPr>
              <w:t>Any Business Day designated by not less than five  (5) Business Days notice to the parties by the Calculation Agent that is no earlier than the thirtieth (30</w:t>
            </w:r>
            <w:r>
              <w:rPr>
                <w:rFonts w:cs="Arial" w:ascii="Arial" w:hAnsi="Arial"/>
                <w:vertAlign w:val="superscript"/>
              </w:rPr>
              <w:t>th</w:t>
            </w:r>
            <w:r>
              <w:rPr>
                <w:rFonts w:cs="Arial" w:ascii="Arial" w:hAnsi="Arial"/>
              </w:rPr>
              <w:t>) Business Day after the Event Determination Date and no later than the sixty-fifth (65</w:t>
            </w:r>
            <w:r>
              <w:rPr>
                <w:rFonts w:cs="Arial" w:ascii="Arial" w:hAnsi="Arial"/>
                <w:vertAlign w:val="superscript"/>
              </w:rPr>
              <w:t>th</w:t>
            </w:r>
            <w:r>
              <w:rPr>
                <w:rFonts w:cs="Arial" w:ascii="Arial" w:hAnsi="Arial"/>
              </w:rPr>
              <w:t xml:space="preserve">) Business Day after the Event Determination Date; </w:t>
            </w:r>
          </w:p>
          <w:p>
            <w:pPr>
              <w:pStyle w:val="Heading9"/>
              <w:jc w:val="both"/>
              <w:rPr>
                <w:rFonts w:ascii="Arial" w:hAnsi="Arial" w:cs="Arial"/>
                <w:b w:val="false"/>
                <w:color w:val="000000"/>
                <w:sz w:val="20"/>
                <w:u w:val="none"/>
              </w:rPr>
            </w:pPr>
            <w:r>
              <w:rPr>
                <w:rFonts w:cs="Arial" w:ascii="Arial" w:hAnsi="Arial"/>
                <w:b w:val="false"/>
                <w:color w:val="000000"/>
                <w:sz w:val="20"/>
                <w:u w:val="none"/>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b w:val="false"/>
                <w:color w:val="000000"/>
                <w:sz w:val="20"/>
                <w:u w:val="none"/>
              </w:rPr>
            </w:pPr>
            <w:r>
              <w:rPr>
                <w:rFonts w:cs="Arial" w:ascii="Arial" w:hAnsi="Arial"/>
                <w:b w:val="false"/>
                <w:color w:val="000000"/>
                <w:sz w:val="20"/>
                <w:u w:val="none"/>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rPr>
            </w:pPr>
            <w:r>
              <w:rPr>
                <w:rFonts w:cs="Arial" w:ascii="Arial" w:hAnsi="Arial"/>
              </w:rPr>
              <w:t>Valuation Time:</w:t>
            </w:r>
          </w:p>
        </w:tc>
        <w:tc>
          <w:tcPr>
            <w:tcW w:w="7152" w:type="dxa"/>
            <w:tcBorders/>
          </w:tcPr>
          <w:p>
            <w:pPr>
              <w:pStyle w:val="Heading8"/>
              <w:ind w:hanging="0" w:start="0"/>
              <w:jc w:val="both"/>
              <w:rPr>
                <w:rFonts w:ascii="Arial" w:hAnsi="Arial" w:cs="Arial"/>
                <w:b w:val="false"/>
                <w:color w:val="000000"/>
                <w:sz w:val="20"/>
                <w:u w:val="none"/>
              </w:rPr>
            </w:pPr>
            <w:r>
              <w:rPr>
                <w:rFonts w:cs="Arial" w:ascii="Arial" w:hAnsi="Arial"/>
                <w:b w:val="false"/>
                <w:sz w:val="20"/>
                <w:u w:val="none"/>
              </w:rPr>
              <w:t>3:00 p.m. in the Calculation Agent City.</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b w:val="false"/>
                <w:color w:val="000000"/>
                <w:sz w:val="20"/>
                <w:u w:val="none"/>
              </w:rPr>
            </w:pPr>
            <w:r>
              <w:rPr>
                <w:rFonts w:cs="Arial" w:ascii="Arial" w:hAnsi="Arial"/>
                <w:b w:val="false"/>
                <w:color w:val="000000"/>
                <w:sz w:val="20"/>
                <w:u w:val="none"/>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Quotation Method:</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Bid</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Quotations:</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 xml:space="preserve">Exclude Accrued Interest </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rPr>
            </w:pPr>
            <w:r>
              <w:rPr>
                <w:rFonts w:cs="Arial" w:ascii="Arial" w:hAnsi="Arial"/>
              </w:rPr>
              <w:t>Quotation Amount:</w:t>
            </w:r>
          </w:p>
        </w:tc>
        <w:tc>
          <w:tcPr>
            <w:tcW w:w="7152" w:type="dxa"/>
            <w:tcBorders/>
          </w:tcPr>
          <w:p>
            <w:pPr>
              <w:pStyle w:val="Normal"/>
              <w:tabs>
                <w:tab w:val="clear" w:pos="720"/>
                <w:tab w:val="left" w:pos="-1440" w:leader="none"/>
                <w:tab w:val="left" w:pos="-720" w:leader="none"/>
                <w:tab w:val="left" w:pos="0" w:leader="none"/>
              </w:tabs>
              <w:jc w:val="both"/>
              <w:rPr/>
            </w:pPr>
            <w:r>
              <w:rPr>
                <w:rFonts w:cs="Arial" w:ascii="Arial" w:hAnsi="Arial"/>
              </w:rPr>
              <w:t xml:space="preserve">shall be equal, with respect to each Reference Obligation selected by Buyer in respect of a Reference Entity and a Valuation Date, the outstanding principal balance of the Reference Obligation, or in the case of a Reference Obligation that is a Discount Bond an Accreted Amount of the Reference Obligation, as specified by Buyer on the applicable Valuation Date; </w:t>
            </w:r>
            <w:r>
              <w:rPr>
                <w:rFonts w:cs="Arial" w:ascii="Arial" w:hAnsi="Arial"/>
                <w:b/>
                <w:i/>
                <w:color w:val="000000"/>
              </w:rPr>
              <w:t>provided that</w:t>
            </w:r>
            <w:r>
              <w:rPr>
                <w:rFonts w:cs="Arial" w:ascii="Arial" w:hAnsi="Arial"/>
                <w:color w:val="000000"/>
              </w:rPr>
              <w:t xml:space="preserve"> the sum of the Quotation Amounts in respect of the relevant Reference Entity expressed </w:t>
            </w:r>
            <w:r>
              <w:rPr>
                <w:rFonts w:cs="Arial" w:ascii="Arial" w:hAnsi="Arial"/>
              </w:rPr>
              <w:t xml:space="preserve">in the currency of the Floating Rate Payer Calculation Amount (as determined by the Calculation Agent by reference to the Currency Rate)  </w:t>
            </w:r>
            <w:r>
              <w:rPr>
                <w:rFonts w:cs="Arial" w:ascii="Arial" w:hAnsi="Arial"/>
                <w:color w:val="000000"/>
              </w:rPr>
              <w:t>shall not exceed the applicable Floating Rate Payer Calculation Amount.</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r>
          </w:p>
          <w:p>
            <w:pPr>
              <w:pStyle w:val="Normal"/>
              <w:tabs>
                <w:tab w:val="clear" w:pos="720"/>
                <w:tab w:val="left" w:pos="0"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left" w:pos="8363" w:leader="none"/>
              </w:tabs>
              <w:autoSpaceDE w:val="false"/>
              <w:spacing w:lineRule="atLeast" w:line="240" w:before="0" w:after="240"/>
              <w:jc w:val="both"/>
              <w:rPr/>
            </w:pPr>
            <w:r>
              <w:rPr>
                <w:rFonts w:cs="Arial" w:ascii="Arial" w:hAnsi="Arial"/>
                <w:color w:val="000000"/>
              </w:rPr>
              <w:t>“</w:t>
            </w:r>
            <w:r>
              <w:rPr>
                <w:rFonts w:cs="Arial" w:ascii="Arial" w:hAnsi="Arial"/>
                <w:b/>
                <w:bCs/>
                <w:color w:val="000000"/>
              </w:rPr>
              <w:t>Discount Bond</w:t>
            </w:r>
            <w:r>
              <w:rPr>
                <w:rFonts w:cs="Arial" w:ascii="Arial" w:hAnsi="Arial"/>
                <w:color w:val="000000"/>
              </w:rPr>
              <w:t xml:space="preserve">”, means a Bond that has an Accreted Amount that is less than the face value of the Bond. </w:t>
            </w:r>
          </w:p>
          <w:p>
            <w:pPr>
              <w:pStyle w:val="Normal"/>
              <w:tabs>
                <w:tab w:val="clear" w:pos="720"/>
                <w:tab w:val="left" w:pos="-1440" w:leader="none"/>
                <w:tab w:val="left" w:pos="-720" w:leader="none"/>
                <w:tab w:val="left" w:pos="0" w:leader="none"/>
              </w:tabs>
              <w:jc w:val="both"/>
              <w:rPr/>
            </w:pPr>
            <w:r>
              <w:rPr>
                <w:rFonts w:cs="Arial" w:ascii="Arial" w:hAnsi="Arial"/>
                <w:szCs w:val="18"/>
              </w:rPr>
              <w:t>“</w:t>
            </w:r>
            <w:r>
              <w:rPr>
                <w:rFonts w:cs="Arial" w:ascii="Arial" w:hAnsi="Arial"/>
                <w:b/>
                <w:bCs/>
                <w:szCs w:val="18"/>
              </w:rPr>
              <w:t>Accreted Amount</w:t>
            </w:r>
            <w:r>
              <w:rPr>
                <w:rFonts w:cs="Arial" w:ascii="Arial" w:hAnsi="Arial"/>
                <w:szCs w:val="18"/>
              </w:rPr>
              <w:t>” means in respect of a Bond, the product of the face value of the Bond and the Accreted Value.</w:t>
            </w:r>
          </w:p>
          <w:p>
            <w:pPr>
              <w:pStyle w:val="Normal"/>
              <w:tabs>
                <w:tab w:val="clear" w:pos="720"/>
                <w:tab w:val="left" w:pos="-1440" w:leader="none"/>
                <w:tab w:val="left" w:pos="-720" w:leader="none"/>
                <w:tab w:val="left" w:pos="0" w:leader="none"/>
              </w:tabs>
              <w:jc w:val="both"/>
              <w:rPr>
                <w:rFonts w:ascii="Arial" w:hAnsi="Arial" w:cs="Arial"/>
                <w:szCs w:val="18"/>
              </w:rPr>
            </w:pPr>
            <w:r>
              <w:rPr>
                <w:rFonts w:cs="Arial" w:ascii="Arial" w:hAnsi="Arial"/>
                <w:szCs w:val="18"/>
              </w:rPr>
            </w:r>
          </w:p>
          <w:p>
            <w:pPr>
              <w:pStyle w:val="Normal"/>
              <w:tabs>
                <w:tab w:val="clear" w:pos="720"/>
                <w:tab w:val="left" w:pos="-1440" w:leader="none"/>
                <w:tab w:val="left" w:pos="-720" w:leader="none"/>
                <w:tab w:val="left" w:pos="0" w:leader="none"/>
              </w:tabs>
              <w:jc w:val="both"/>
              <w:rPr>
                <w:rFonts w:ascii="Arial" w:hAnsi="Arial" w:cs="Arial"/>
                <w:color w:val="0000FF"/>
              </w:rPr>
            </w:pPr>
            <w:r>
              <w:rPr>
                <w:rFonts w:cs="Arial" w:ascii="Arial" w:hAnsi="Arial"/>
                <w:szCs w:val="18"/>
              </w:rPr>
              <w:t>“</w:t>
            </w:r>
            <w:r>
              <w:rPr>
                <w:rFonts w:cs="Arial" w:ascii="Arial" w:hAnsi="Arial"/>
                <w:b/>
                <w:bCs/>
                <w:szCs w:val="18"/>
              </w:rPr>
              <w:t>Accreted Value</w:t>
            </w:r>
            <w:r>
              <w:rPr>
                <w:rFonts w:cs="Arial" w:ascii="Arial" w:hAnsi="Arial"/>
                <w:szCs w:val="18"/>
              </w:rPr>
              <w:t>” means in the case of a Bond the (a) original issue price of the Bond expressed as a percentage of the face value of the Bond plus (b) any accretion accrued to the Event Determination Date expressed as a percentage of the face value of the Bond, as determined by the Calculation Agent in a commercially reasonable manner by reference to the terms of the applicable Bond.</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Currency Rate:</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Federal Reserve Bank of New York 10:00 am (New York time) midpoint rate as displayed on Reuters page FEDSPOT on the Valuation Date.</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Settlement Currency:</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US$</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Cash Settlement Date:</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means in respect of a Reference Entity, three (3) Business Days following the applicable Final Valuation Date.</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rPr>
              <w:t>Final Valuation Date:</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means in respect of a Reference Entity,</w:t>
            </w:r>
            <w:r>
              <w:rPr>
                <w:rFonts w:cs="Arial" w:ascii="Arial" w:hAnsi="Arial"/>
              </w:rPr>
              <w:t xml:space="preserve"> the date that all Credit Event Calculation Amounts are determined in respect of such Reference Entity.</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Cash Settlement Amount:</w:t>
            </w:r>
          </w:p>
        </w:tc>
        <w:tc>
          <w:tcPr>
            <w:tcW w:w="7152" w:type="dxa"/>
            <w:tcBorders/>
          </w:tcPr>
          <w:p>
            <w:pPr>
              <w:pStyle w:val="Normal"/>
              <w:tabs>
                <w:tab w:val="clear" w:pos="720"/>
                <w:tab w:val="left" w:pos="-1440" w:leader="none"/>
                <w:tab w:val="left" w:pos="-720" w:leader="none"/>
                <w:tab w:val="left" w:pos="0" w:leader="none"/>
              </w:tabs>
              <w:jc w:val="both"/>
              <w:rPr/>
            </w:pPr>
            <w:r>
              <w:rPr>
                <w:rFonts w:cs="Arial" w:ascii="Arial" w:hAnsi="Arial"/>
                <w:color w:val="000000"/>
              </w:rPr>
              <w:t xml:space="preserve">means in respect of a Reference Entity, the sum of the </w:t>
            </w:r>
            <w:r>
              <w:rPr>
                <w:rFonts w:cs="Arial" w:ascii="Arial" w:hAnsi="Arial"/>
              </w:rPr>
              <w:t xml:space="preserve">Credit Event Calculation </w:t>
            </w:r>
            <w:r>
              <w:rPr>
                <w:rFonts w:cs="Arial" w:ascii="Arial" w:hAnsi="Arial"/>
                <w:color w:val="000000"/>
              </w:rPr>
              <w:t xml:space="preserve">Amounts calculated  in respect of the such Reference Entity up to and including the Final Valuation Date. </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rPr/>
            </w:pPr>
            <w:r>
              <w:rPr>
                <w:rFonts w:cs="Arial" w:ascii="Arial" w:hAnsi="Arial"/>
              </w:rPr>
              <w:t xml:space="preserve">Credit Event Calculation </w:t>
            </w:r>
            <w:r>
              <w:rPr>
                <w:rFonts w:cs="Arial" w:ascii="Arial" w:hAnsi="Arial"/>
                <w:color w:val="000000"/>
              </w:rPr>
              <w:t>Amount:</w:t>
            </w:r>
          </w:p>
        </w:tc>
        <w:tc>
          <w:tcPr>
            <w:tcW w:w="7152" w:type="dxa"/>
            <w:tcBorders/>
          </w:tcPr>
          <w:p>
            <w:pPr>
              <w:pStyle w:val="Normal"/>
              <w:tabs>
                <w:tab w:val="clear" w:pos="720"/>
                <w:tab w:val="left" w:pos="-1440" w:leader="none"/>
                <w:tab w:val="left" w:pos="-720" w:leader="none"/>
                <w:tab w:val="left" w:pos="0" w:leader="none"/>
              </w:tabs>
              <w:jc w:val="both"/>
              <w:rPr/>
            </w:pPr>
            <w:r>
              <w:rPr>
                <w:rFonts w:cs="Arial" w:ascii="Arial" w:hAnsi="Arial"/>
                <w:color w:val="000000"/>
              </w:rPr>
              <w:t xml:space="preserve">means in respect of each Reference Obligation specified by Buyer on the applicable Valuation Date in respect of a Reference Entity the greater of (i) the applicable Quotation Amount multiplied by the difference between the Reference Price and the Final Price of the applicable Reference Obligation and (ii) zero, expressed in the </w:t>
            </w:r>
            <w:r>
              <w:rPr>
                <w:rFonts w:cs="Arial" w:ascii="Arial" w:hAnsi="Arial"/>
              </w:rPr>
              <w:t>currency of the Floating Rate Payer Calculation Amount as determined by the Calculation Agent by reference to the Currency Rate.</w:t>
            </w:r>
          </w:p>
          <w:p>
            <w:pPr>
              <w:pStyle w:val="Normal"/>
              <w:tabs>
                <w:tab w:val="clear" w:pos="720"/>
                <w:tab w:val="left" w:pos="-1440" w:leader="none"/>
                <w:tab w:val="left" w:pos="-720" w:leader="none"/>
                <w:tab w:val="left" w:pos="0" w:leader="none"/>
              </w:tabs>
              <w:jc w:val="both"/>
              <w:rPr>
                <w:rFonts w:ascii="Arial" w:hAnsi="Arial" w:cs="Arial"/>
              </w:rPr>
            </w:pPr>
            <w:r>
              <w:rPr>
                <w:rFonts w:cs="Arial" w:ascii="Arial" w:hAnsi="Arial"/>
              </w:rPr>
            </w:r>
          </w:p>
          <w:p>
            <w:pPr>
              <w:pStyle w:val="Normal"/>
              <w:tabs>
                <w:tab w:val="clear" w:pos="720"/>
                <w:tab w:val="left" w:pos="-1440" w:leader="none"/>
                <w:tab w:val="left" w:pos="-720" w:leader="none"/>
                <w:tab w:val="left" w:pos="0" w:leader="none"/>
              </w:tabs>
              <w:jc w:val="both"/>
              <w:rPr/>
            </w:pPr>
            <w:r>
              <w:rPr>
                <w:rFonts w:cs="Arial" w:ascii="Arial" w:hAnsi="Arial"/>
                <w:b/>
                <w:bCs/>
              </w:rPr>
              <w:t>Final Price of Discount Bonds.</w:t>
            </w:r>
            <w:r>
              <w:rPr>
                <w:rFonts w:cs="Arial" w:ascii="Arial" w:hAnsi="Arial"/>
              </w:rPr>
              <w:t xml:space="preserve">  Notwithstanding anything to the contrary contained herein or in the Credit Derivatives Definitions, in respect of a Reference Obligation that is a Discount Bond, the Final Price of such Reference Obligation for the purposes of the Transaction shall be determined by the Calculation Agent in a commercially reasonable manner and expressed as a percentage in accordance with the following formula:</w:t>
            </w:r>
          </w:p>
          <w:p>
            <w:pPr>
              <w:pStyle w:val="Normal"/>
              <w:tabs>
                <w:tab w:val="clear" w:pos="720"/>
                <w:tab w:val="left" w:pos="-1440" w:leader="none"/>
                <w:tab w:val="left" w:pos="-720" w:leader="none"/>
                <w:tab w:val="left" w:pos="0" w:leader="none"/>
              </w:tabs>
              <w:jc w:val="both"/>
              <w:rPr>
                <w:rFonts w:ascii="Arial" w:hAnsi="Arial" w:cs="Arial"/>
              </w:rPr>
            </w:pPr>
            <w:r>
              <w:rPr>
                <w:rFonts w:cs="Arial" w:ascii="Arial" w:hAnsi="Arial"/>
              </w:rPr>
            </w:r>
          </w:p>
          <w:p>
            <w:pPr>
              <w:pStyle w:val="Normal"/>
              <w:tabs>
                <w:tab w:val="clear" w:pos="720"/>
                <w:tab w:val="left" w:pos="-1440" w:leader="none"/>
                <w:tab w:val="left" w:pos="-720" w:leader="none"/>
                <w:tab w:val="left" w:pos="0" w:leader="none"/>
              </w:tabs>
              <w:jc w:val="center"/>
              <w:rPr>
                <w:rFonts w:ascii="Arial" w:hAnsi="Arial" w:cs="Arial"/>
                <w:b/>
                <w:bCs/>
                <w:u w:val="single"/>
              </w:rPr>
            </w:pPr>
            <w:r>
              <w:rPr>
                <w:rFonts w:cs="Arial" w:ascii="Arial" w:hAnsi="Arial"/>
                <w:b/>
                <w:bCs/>
                <w:u w:val="single"/>
              </w:rPr>
              <w:t xml:space="preserve">Q  x F  </w:t>
            </w:r>
          </w:p>
          <w:p>
            <w:pPr>
              <w:pStyle w:val="Normal"/>
              <w:tabs>
                <w:tab w:val="clear" w:pos="720"/>
                <w:tab w:val="left" w:pos="-1440" w:leader="none"/>
                <w:tab w:val="left" w:pos="-720" w:leader="none"/>
                <w:tab w:val="left" w:pos="0" w:leader="none"/>
              </w:tabs>
              <w:jc w:val="center"/>
              <w:rPr>
                <w:rFonts w:ascii="Arial" w:hAnsi="Arial" w:cs="Arial"/>
              </w:rPr>
            </w:pPr>
            <w:r>
              <w:rPr>
                <w:rFonts w:cs="Arial" w:ascii="Arial" w:hAnsi="Arial"/>
                <w:b/>
                <w:bCs/>
              </w:rPr>
              <w:t>AA</w:t>
            </w:r>
          </w:p>
          <w:p>
            <w:pPr>
              <w:pStyle w:val="Normal"/>
              <w:tabs>
                <w:tab w:val="clear" w:pos="720"/>
                <w:tab w:val="left" w:pos="-1440" w:leader="none"/>
                <w:tab w:val="left" w:pos="-720" w:leader="none"/>
                <w:tab w:val="left" w:pos="0" w:leader="none"/>
              </w:tabs>
              <w:jc w:val="both"/>
              <w:rPr>
                <w:rFonts w:ascii="Arial" w:hAnsi="Arial" w:cs="Arial"/>
                <w:b/>
                <w:bCs/>
                <w:color w:val="000000"/>
              </w:rPr>
            </w:pPr>
            <w:r>
              <w:rPr>
                <w:rFonts w:cs="Arial" w:ascii="Arial" w:hAnsi="Arial"/>
                <w:b/>
                <w:bCs/>
                <w:color w:val="000000"/>
              </w:rPr>
              <w:t>Where:</w:t>
            </w:r>
          </w:p>
          <w:p>
            <w:pPr>
              <w:pStyle w:val="Normal"/>
              <w:tabs>
                <w:tab w:val="clear" w:pos="720"/>
                <w:tab w:val="left" w:pos="-1440" w:leader="none"/>
                <w:tab w:val="left" w:pos="-720" w:leader="none"/>
                <w:tab w:val="left" w:pos="0" w:leader="none"/>
              </w:tabs>
              <w:jc w:val="both"/>
              <w:rPr>
                <w:rFonts w:ascii="Arial" w:hAnsi="Arial" w:cs="Arial"/>
                <w:b/>
                <w:bCs/>
                <w:color w:val="000000"/>
              </w:rPr>
            </w:pPr>
            <w:r>
              <w:rPr>
                <w:rFonts w:cs="Arial" w:ascii="Arial" w:hAnsi="Arial"/>
                <w:b/>
                <w:bCs/>
                <w:color w:val="000000"/>
              </w:rPr>
            </w:r>
          </w:p>
          <w:p>
            <w:pPr>
              <w:pStyle w:val="Normal"/>
              <w:tabs>
                <w:tab w:val="clear" w:pos="720"/>
                <w:tab w:val="left" w:pos="-1440" w:leader="none"/>
                <w:tab w:val="left" w:pos="-720" w:leader="none"/>
                <w:tab w:val="left" w:pos="0" w:leader="none"/>
              </w:tabs>
              <w:jc w:val="both"/>
              <w:rPr/>
            </w:pPr>
            <w:r>
              <w:rPr>
                <w:rFonts w:cs="Arial" w:ascii="Arial" w:hAnsi="Arial"/>
                <w:b/>
                <w:color w:val="000000"/>
              </w:rPr>
              <w:t xml:space="preserve">Q, </w:t>
            </w:r>
            <w:r>
              <w:rPr>
                <w:rFonts w:cs="Arial" w:ascii="Arial" w:hAnsi="Arial"/>
                <w:bCs/>
                <w:color w:val="000000"/>
              </w:rPr>
              <w:t>is the highest Quotation obtained in respect of the Reference Obligation in accordance with the Valuation Method and the Auction Process expressed as a percentage of the face value of the Reference Obligation;</w:t>
            </w:r>
          </w:p>
          <w:p>
            <w:pPr>
              <w:pStyle w:val="Normal"/>
              <w:tabs>
                <w:tab w:val="clear" w:pos="720"/>
                <w:tab w:val="left" w:pos="-1440" w:leader="none"/>
                <w:tab w:val="left" w:pos="-720" w:leader="none"/>
                <w:tab w:val="left" w:pos="0" w:leader="none"/>
              </w:tabs>
              <w:jc w:val="both"/>
              <w:rPr/>
            </w:pPr>
            <w:r>
              <w:rPr>
                <w:rFonts w:eastAsia="Arial" w:cs="Arial" w:ascii="Arial" w:hAnsi="Arial"/>
                <w:b/>
                <w:color w:val="000000"/>
              </w:rPr>
              <w:t xml:space="preserve"> </w:t>
            </w:r>
            <w:r>
              <w:rPr>
                <w:rFonts w:eastAsia="Arial" w:cs="Arial" w:ascii="Arial" w:hAnsi="Arial"/>
                <w:color w:val="000000"/>
              </w:rPr>
              <w:t xml:space="preserve"> </w:t>
            </w:r>
          </w:p>
          <w:p>
            <w:pPr>
              <w:pStyle w:val="Normal"/>
              <w:tabs>
                <w:tab w:val="clear" w:pos="720"/>
                <w:tab w:val="left" w:pos="-1440" w:leader="none"/>
                <w:tab w:val="left" w:pos="-720" w:leader="none"/>
                <w:tab w:val="left" w:pos="0" w:leader="none"/>
              </w:tabs>
              <w:jc w:val="both"/>
              <w:rPr/>
            </w:pPr>
            <w:r>
              <w:rPr>
                <w:rFonts w:cs="Arial" w:ascii="Arial" w:hAnsi="Arial"/>
                <w:b/>
                <w:bCs/>
                <w:color w:val="000000"/>
              </w:rPr>
              <w:t>F</w:t>
            </w:r>
            <w:r>
              <w:rPr>
                <w:rFonts w:cs="Arial" w:ascii="Arial" w:hAnsi="Arial"/>
                <w:color w:val="000000"/>
              </w:rPr>
              <w:t>, is the face value of the Reference Obligation; and</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b/>
                <w:position w:val="-6"/>
              </w:rPr>
              <w:t xml:space="preserve">AA, </w:t>
            </w:r>
            <w:r>
              <w:rPr>
                <w:rFonts w:cs="Arial" w:ascii="Arial" w:hAnsi="Arial"/>
                <w:bCs/>
                <w:position w:val="-6"/>
              </w:rPr>
              <w:t xml:space="preserve">is the Accreted Amount of the Reference Obligation. </w:t>
            </w:r>
            <w:r>
              <w:rPr>
                <w:rFonts w:cs="Arial" w:ascii="Arial" w:hAnsi="Arial"/>
              </w:rPr>
              <w:t xml:space="preserve"> </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pacing w:before="120" w:after="0"/>
              <w:jc w:val="both"/>
              <w:rPr>
                <w:rFonts w:ascii="Arial" w:hAnsi="Arial" w:cs="Arial"/>
                <w:color w:val="000000"/>
              </w:rPr>
            </w:pPr>
            <w:r>
              <w:rPr>
                <w:rFonts w:cs="Arial" w:ascii="Arial" w:hAnsi="Arial"/>
                <w:color w:val="000000"/>
              </w:rPr>
              <w:t>Valuation Method:</w:t>
            </w:r>
          </w:p>
        </w:tc>
        <w:tc>
          <w:tcPr>
            <w:tcW w:w="7152" w:type="dxa"/>
            <w:tcBorders/>
          </w:tcPr>
          <w:p>
            <w:pPr>
              <w:pStyle w:val="Normal"/>
              <w:tabs>
                <w:tab w:val="clear" w:pos="720"/>
                <w:tab w:val="left" w:pos="-1440" w:leader="none"/>
                <w:tab w:val="left" w:pos="-720" w:leader="none"/>
                <w:tab w:val="left" w:pos="0" w:leader="none"/>
              </w:tabs>
              <w:spacing w:before="120" w:after="0"/>
              <w:jc w:val="both"/>
              <w:rPr>
                <w:rFonts w:ascii="Arial" w:hAnsi="Arial" w:cs="Arial"/>
                <w:color w:val="000000"/>
              </w:rPr>
            </w:pPr>
            <w:r>
              <w:rPr>
                <w:rFonts w:cs="Arial" w:ascii="Arial" w:hAnsi="Arial"/>
                <w:color w:val="000000"/>
              </w:rPr>
              <w:t>Highest;</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r>
          </w:p>
          <w:p>
            <w:pPr>
              <w:pStyle w:val="Header"/>
              <w:tabs>
                <w:tab w:val="clear" w:pos="4320"/>
                <w:tab w:val="clear" w:pos="8640"/>
              </w:tabs>
              <w:rPr>
                <w:rFonts w:ascii="Arial" w:hAnsi="Arial" w:cs="Arial"/>
                <w:position w:val="-7"/>
              </w:rPr>
            </w:pPr>
            <w:r>
              <w:rPr>
                <w:rFonts w:cs="Arial" w:ascii="Arial" w:hAnsi="Arial"/>
                <w:position w:val="-6"/>
              </w:rPr>
              <w:t xml:space="preserve">For the purposes of this Transaction, </w:t>
            </w:r>
          </w:p>
          <w:p>
            <w:pPr>
              <w:pStyle w:val="Header"/>
              <w:tabs>
                <w:tab w:val="clear" w:pos="4320"/>
                <w:tab w:val="clear" w:pos="8640"/>
              </w:tabs>
              <w:rPr>
                <w:rFonts w:ascii="Arial" w:hAnsi="Arial" w:cs="Arial"/>
                <w:position w:val="-7"/>
              </w:rPr>
            </w:pPr>
            <w:r>
              <w:rPr>
                <w:rFonts w:cs="Arial" w:ascii="Arial" w:hAnsi="Arial"/>
                <w:position w:val="-7"/>
              </w:rPr>
            </w:r>
          </w:p>
          <w:p>
            <w:pPr>
              <w:pStyle w:val="Header"/>
              <w:numPr>
                <w:ilvl w:val="0"/>
                <w:numId w:val="10"/>
              </w:numPr>
              <w:tabs>
                <w:tab w:val="clear" w:pos="4320"/>
                <w:tab w:val="clear" w:pos="8640"/>
              </w:tabs>
              <w:rPr>
                <w:rFonts w:ascii="Arial" w:hAnsi="Arial" w:cs="Arial"/>
                <w:position w:val="-7"/>
              </w:rPr>
            </w:pPr>
            <w:r>
              <w:rPr>
                <w:rFonts w:cs="Arial" w:ascii="Arial" w:hAnsi="Arial"/>
                <w:position w:val="-7"/>
              </w:rPr>
              <w:t>Section 7.8 (a) of the Credit Derivatives Definitions shall be deleted in its entirety and replaced by the following:</w:t>
            </w:r>
          </w:p>
          <w:p>
            <w:pPr>
              <w:pStyle w:val="Header"/>
              <w:tabs>
                <w:tab w:val="clear" w:pos="4320"/>
                <w:tab w:val="clear" w:pos="8640"/>
              </w:tabs>
              <w:rPr>
                <w:rFonts w:ascii="Arial" w:hAnsi="Arial" w:cs="Arial"/>
                <w:position w:val="-7"/>
              </w:rPr>
            </w:pPr>
            <w:r>
              <w:rPr>
                <w:rFonts w:cs="Arial" w:ascii="Arial" w:hAnsi="Arial"/>
                <w:position w:val="-7"/>
              </w:rPr>
            </w:r>
          </w:p>
          <w:p>
            <w:pPr>
              <w:pStyle w:val="Header"/>
              <w:tabs>
                <w:tab w:val="clear" w:pos="4320"/>
                <w:tab w:val="clear" w:pos="8640"/>
              </w:tabs>
              <w:ind w:start="360" w:end="0"/>
              <w:jc w:val="both"/>
              <w:rPr>
                <w:rFonts w:ascii="Arial" w:hAnsi="Arial" w:cs="Arial"/>
                <w:position w:val="-7"/>
              </w:rPr>
            </w:pPr>
            <w:r>
              <w:rPr>
                <w:rFonts w:cs="Arial" w:ascii="Arial" w:hAnsi="Arial"/>
                <w:position w:val="-7"/>
              </w:rPr>
              <w:t>“</w:t>
            </w:r>
            <w:r>
              <w:rPr>
                <w:rFonts w:cs="Arial" w:ascii="Arial" w:hAnsi="Arial"/>
                <w:position w:val="-7"/>
              </w:rPr>
              <w:t xml:space="preserve">The Calculation Agent shall attempt to obtain Full Quotations from at least five Dealers, each Credit Protection Seller and Enron with respect to each Valuation Date.  </w:t>
            </w:r>
          </w:p>
          <w:p>
            <w:pPr>
              <w:pStyle w:val="Header"/>
              <w:tabs>
                <w:tab w:val="clear" w:pos="4320"/>
                <w:tab w:val="clear" w:pos="8640"/>
              </w:tabs>
              <w:ind w:start="360" w:end="0"/>
              <w:jc w:val="both"/>
              <w:rPr>
                <w:rFonts w:ascii="Arial" w:hAnsi="Arial" w:cs="Arial"/>
                <w:position w:val="-7"/>
              </w:rPr>
            </w:pPr>
            <w:r>
              <w:rPr>
                <w:rFonts w:cs="Arial" w:ascii="Arial" w:hAnsi="Arial"/>
                <w:position w:val="-7"/>
              </w:rPr>
            </w:r>
          </w:p>
          <w:p>
            <w:pPr>
              <w:pStyle w:val="Normal"/>
              <w:tabs>
                <w:tab w:val="clear" w:pos="720"/>
                <w:tab w:val="left" w:pos="-1440" w:leader="none"/>
                <w:tab w:val="left" w:pos="-720" w:leader="none"/>
                <w:tab w:val="left" w:pos="0" w:leader="none"/>
              </w:tabs>
              <w:ind w:start="360" w:end="0"/>
              <w:jc w:val="both"/>
              <w:rPr>
                <w:rFonts w:ascii="Arial" w:hAnsi="Arial" w:cs="Arial"/>
                <w:color w:val="000000"/>
              </w:rPr>
            </w:pPr>
            <w:r>
              <w:rPr>
                <w:rFonts w:cs="Arial" w:ascii="Arial" w:hAnsi="Arial"/>
                <w:position w:val="-6"/>
              </w:rPr>
              <w:t>If the Calculation Agent is unable to obtain at least two Full Quotations (excluding Enron) on the same Business Day on or before the tenth (10</w:t>
            </w:r>
            <w:r>
              <w:rPr>
                <w:rFonts w:cs="Arial" w:ascii="Arial" w:hAnsi="Arial"/>
                <w:vertAlign w:val="superscript"/>
              </w:rPr>
              <w:t>th</w:t>
            </w:r>
            <w:r>
              <w:rPr>
                <w:rFonts w:cs="Arial" w:ascii="Arial" w:hAnsi="Arial"/>
                <w:position w:val="-6"/>
              </w:rPr>
              <w:t xml:space="preserve">) Business Day immediately following the Valuation Date, Enron shall attempt to obtain Full Quotations for an additional five Business Days and in the event that at least two Full Quotations are not available on the same Business Day, a Weighted Average Quotation.  </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Header"/>
              <w:tabs>
                <w:tab w:val="clear" w:pos="4320"/>
                <w:tab w:val="clear" w:pos="8640"/>
              </w:tabs>
              <w:ind w:start="360" w:end="0"/>
              <w:jc w:val="both"/>
              <w:rPr>
                <w:rFonts w:ascii="Arial" w:hAnsi="Arial" w:eastAsia="Arial" w:cs="Arial"/>
                <w:position w:val="-7"/>
              </w:rPr>
            </w:pPr>
            <w:r>
              <w:rPr>
                <w:rFonts w:eastAsia="Arial" w:cs="Arial" w:ascii="Arial" w:hAnsi="Arial"/>
                <w:position w:val="-6"/>
              </w:rPr>
              <w:t xml:space="preserve"> </w:t>
            </w:r>
          </w:p>
          <w:p>
            <w:pPr>
              <w:pStyle w:val="Header"/>
              <w:tabs>
                <w:tab w:val="clear" w:pos="4320"/>
                <w:tab w:val="clear" w:pos="8640"/>
              </w:tabs>
              <w:ind w:start="360" w:end="0"/>
              <w:jc w:val="both"/>
              <w:rPr/>
            </w:pPr>
            <w:r>
              <w:rPr>
                <w:rFonts w:cs="Arial" w:ascii="Arial" w:hAnsi="Arial"/>
                <w:position w:val="-6"/>
              </w:rPr>
              <w:t>If the Calculation Agent is unable to obtain at least two Full Quotations (excluding Enron) on the same Business Day or a Weighted Average Quotation on or before the fifteenth (15</w:t>
            </w:r>
            <w:r>
              <w:rPr>
                <w:rFonts w:cs="Arial" w:ascii="Arial" w:hAnsi="Arial"/>
                <w:vertAlign w:val="superscript"/>
              </w:rPr>
              <w:t>th</w:t>
            </w:r>
            <w:r>
              <w:rPr>
                <w:rFonts w:cs="Arial" w:ascii="Arial" w:hAnsi="Arial"/>
                <w:position w:val="-6"/>
              </w:rPr>
              <w:t>) Business Day immediately following the Valuation Date, on the sixteenth (16</w:t>
            </w:r>
            <w:r>
              <w:rPr>
                <w:rFonts w:cs="Arial" w:ascii="Arial" w:hAnsi="Arial"/>
                <w:vertAlign w:val="superscript"/>
              </w:rPr>
              <w:t>th</w:t>
            </w:r>
            <w:r>
              <w:rPr>
                <w:rFonts w:cs="Arial" w:ascii="Arial" w:hAnsi="Arial"/>
                <w:position w:val="-6"/>
              </w:rPr>
              <w:t xml:space="preserve">) Business Day immediately following the Valuation Date the Quotations for the purpose of the Valuation Date shall be deemed to be any Full Quotation obtained on the sixteenth Business Day from each Credit Protection Seller, Enron and each Dealer and any Weighted Average Quotation obtained on the sixteenth Business Day.  If the Calculation Agent is unable to obtain at least one Full Quotation or Weighted Average Quotation on the sixteenth Business Day the Quotations shall be deemed to be zero.”; </w:t>
            </w:r>
          </w:p>
          <w:p>
            <w:pPr>
              <w:pStyle w:val="Header"/>
              <w:tabs>
                <w:tab w:val="clear" w:pos="4320"/>
                <w:tab w:val="clear" w:pos="8640"/>
              </w:tabs>
              <w:ind w:start="33" w:end="0"/>
              <w:jc w:val="both"/>
              <w:rPr>
                <w:rFonts w:ascii="Arial" w:hAnsi="Arial" w:cs="Arial"/>
                <w:position w:val="-7"/>
              </w:rPr>
            </w:pPr>
            <w:r>
              <w:rPr>
                <w:rFonts w:cs="Arial" w:ascii="Arial" w:hAnsi="Arial"/>
                <w:position w:val="-7"/>
              </w:rPr>
            </w:r>
          </w:p>
          <w:p>
            <w:pPr>
              <w:pStyle w:val="BodyText"/>
              <w:tabs>
                <w:tab w:val="clear" w:pos="720"/>
                <w:tab w:val="left" w:pos="-1440" w:leader="none"/>
                <w:tab w:val="left" w:pos="-720" w:leader="none"/>
                <w:tab w:val="left" w:pos="317" w:leader="none"/>
              </w:tabs>
              <w:ind w:hanging="317" w:start="317" w:end="0"/>
              <w:rPr>
                <w:rFonts w:ascii="Arial" w:hAnsi="Arial" w:cs="Arial"/>
                <w:position w:val="-6"/>
                <w:sz w:val="20"/>
              </w:rPr>
            </w:pPr>
            <w:r>
              <w:rPr>
                <w:rFonts w:cs="Arial" w:ascii="Arial" w:hAnsi="Arial"/>
                <w:position w:val="-6"/>
                <w:sz w:val="20"/>
              </w:rPr>
              <w:t>(b) Section 7.8 (b) of the Credit Derivatives Definitions shall be deleted in its entirety and all references to Section 7.8 (b) shall be deemed deleted;</w:t>
            </w:r>
          </w:p>
          <w:p>
            <w:pPr>
              <w:pStyle w:val="Normal"/>
              <w:tabs>
                <w:tab w:val="clear" w:pos="720"/>
                <w:tab w:val="left" w:pos="-1440" w:leader="none"/>
                <w:tab w:val="left" w:pos="-720" w:leader="none"/>
                <w:tab w:val="left" w:pos="0" w:leader="none"/>
              </w:tabs>
              <w:rPr>
                <w:rFonts w:ascii="Arial" w:hAnsi="Arial" w:cs="Arial"/>
                <w:position w:val="-6"/>
                <w:sz w:val="20"/>
              </w:rPr>
            </w:pPr>
            <w:r>
              <w:rPr>
                <w:rFonts w:cs="Arial" w:ascii="Arial" w:hAnsi="Arial"/>
                <w:position w:val="-6"/>
                <w:sz w:val="20"/>
              </w:rPr>
            </w:r>
          </w:p>
          <w:p>
            <w:pPr>
              <w:pStyle w:val="Normal"/>
              <w:numPr>
                <w:ilvl w:val="0"/>
                <w:numId w:val="11"/>
              </w:numPr>
              <w:tabs>
                <w:tab w:val="clear" w:pos="720"/>
                <w:tab w:val="left" w:pos="-1440" w:leader="none"/>
                <w:tab w:val="left" w:pos="-720" w:leader="none"/>
                <w:tab w:val="left" w:pos="0" w:leader="none"/>
              </w:tabs>
              <w:rPr>
                <w:rFonts w:ascii="Arial" w:hAnsi="Arial" w:cs="Arial"/>
              </w:rPr>
            </w:pPr>
            <w:r>
              <w:rPr>
                <w:rFonts w:cs="Arial" w:ascii="Arial" w:hAnsi="Arial"/>
              </w:rPr>
              <w:t>Section 7.9 of the Credit Derivatives Definitions shall be amended by,</w:t>
            </w:r>
          </w:p>
          <w:p>
            <w:pPr>
              <w:pStyle w:val="Header"/>
              <w:tabs>
                <w:tab w:val="clear" w:pos="4320"/>
                <w:tab w:val="clear" w:pos="8640"/>
                <w:tab w:val="left" w:pos="-1440" w:leader="none"/>
                <w:tab w:val="left" w:pos="-720" w:leader="none"/>
                <w:tab w:val="left" w:pos="0" w:leader="none"/>
              </w:tabs>
              <w:rPr>
                <w:rFonts w:ascii="Arial" w:hAnsi="Arial" w:cs="Arial"/>
              </w:rPr>
            </w:pPr>
            <w:r>
              <w:rPr>
                <w:rFonts w:cs="Arial" w:ascii="Arial" w:hAnsi="Arial"/>
              </w:rPr>
            </w:r>
          </w:p>
          <w:p>
            <w:pPr>
              <w:pStyle w:val="Normal"/>
              <w:tabs>
                <w:tab w:val="clear" w:pos="720"/>
                <w:tab w:val="left" w:pos="-1440" w:leader="none"/>
                <w:tab w:val="left" w:pos="-720" w:leader="none"/>
                <w:tab w:val="left" w:pos="0" w:leader="none"/>
              </w:tabs>
              <w:ind w:start="360" w:end="0"/>
              <w:rPr>
                <w:rFonts w:ascii="Arial" w:hAnsi="Arial" w:cs="Arial"/>
              </w:rPr>
            </w:pPr>
            <w:r>
              <w:rPr>
                <w:rFonts w:cs="Arial" w:ascii="Arial" w:hAnsi="Arial"/>
              </w:rPr>
              <w:t>(i) inserting the following language in the second line thereof immediately after the word “Dealer”:</w:t>
            </w:r>
          </w:p>
          <w:p>
            <w:pPr>
              <w:pStyle w:val="Normal"/>
              <w:tabs>
                <w:tab w:val="clear" w:pos="720"/>
                <w:tab w:val="left" w:pos="-1440" w:leader="none"/>
                <w:tab w:val="left" w:pos="-720" w:leader="none"/>
                <w:tab w:val="left" w:pos="0" w:leader="none"/>
              </w:tabs>
              <w:rPr>
                <w:rFonts w:ascii="Arial" w:hAnsi="Arial" w:cs="Arial"/>
              </w:rPr>
            </w:pPr>
            <w:r>
              <w:rPr>
                <w:rFonts w:cs="Arial" w:ascii="Arial" w:hAnsi="Arial"/>
              </w:rPr>
            </w:r>
          </w:p>
          <w:p>
            <w:pPr>
              <w:pStyle w:val="Normal"/>
              <w:tabs>
                <w:tab w:val="clear" w:pos="720"/>
                <w:tab w:val="left" w:pos="-1440" w:leader="none"/>
                <w:tab w:val="left" w:pos="-720" w:leader="none"/>
                <w:tab w:val="left" w:pos="0" w:leader="none"/>
              </w:tabs>
              <w:ind w:start="360" w:end="0"/>
              <w:rPr>
                <w:rFonts w:ascii="Arial" w:hAnsi="Arial" w:cs="Arial"/>
              </w:rPr>
            </w:pPr>
            <w:r>
              <w:rPr>
                <w:rFonts w:cs="Arial" w:ascii="Arial" w:hAnsi="Arial"/>
              </w:rPr>
              <w:t>“</w:t>
            </w:r>
            <w:r>
              <w:rPr>
                <w:rFonts w:cs="Arial" w:ascii="Arial" w:hAnsi="Arial"/>
              </w:rPr>
              <w:t>Enron or a Credit Protection Seller, in each case”; and</w:t>
            </w:r>
          </w:p>
          <w:p>
            <w:pPr>
              <w:pStyle w:val="Normal"/>
              <w:tabs>
                <w:tab w:val="clear" w:pos="720"/>
                <w:tab w:val="left" w:pos="-1440" w:leader="none"/>
                <w:tab w:val="left" w:pos="-720" w:leader="none"/>
                <w:tab w:val="left" w:pos="0" w:leader="none"/>
              </w:tabs>
              <w:ind w:start="360" w:end="0"/>
              <w:rPr>
                <w:rFonts w:ascii="Arial" w:hAnsi="Arial" w:cs="Arial"/>
              </w:rPr>
            </w:pPr>
            <w:r>
              <w:rPr>
                <w:rFonts w:cs="Arial" w:ascii="Arial" w:hAnsi="Arial"/>
              </w:rPr>
            </w:r>
          </w:p>
          <w:p>
            <w:pPr>
              <w:pStyle w:val="Normal"/>
              <w:tabs>
                <w:tab w:val="clear" w:pos="720"/>
                <w:tab w:val="left" w:pos="-1440" w:leader="none"/>
                <w:tab w:val="left" w:pos="-720" w:leader="none"/>
                <w:tab w:val="left" w:pos="0" w:leader="none"/>
              </w:tabs>
              <w:ind w:start="360" w:end="0"/>
              <w:rPr>
                <w:rFonts w:ascii="Arial" w:hAnsi="Arial" w:cs="Arial"/>
              </w:rPr>
            </w:pPr>
            <w:r>
              <w:rPr>
                <w:rFonts w:cs="Arial" w:ascii="Arial" w:hAnsi="Arial"/>
              </w:rPr>
              <w:t>(ii) inserting the following language in the fourth line thereof immediately after the words “outstanding principal balance”:</w:t>
            </w:r>
          </w:p>
          <w:p>
            <w:pPr>
              <w:pStyle w:val="Normal"/>
              <w:tabs>
                <w:tab w:val="clear" w:pos="720"/>
                <w:tab w:val="left" w:pos="-1440" w:leader="none"/>
                <w:tab w:val="left" w:pos="-720" w:leader="none"/>
                <w:tab w:val="left" w:pos="0" w:leader="none"/>
              </w:tabs>
              <w:ind w:start="360" w:end="0"/>
              <w:rPr>
                <w:rFonts w:ascii="Arial" w:hAnsi="Arial" w:cs="Arial"/>
              </w:rPr>
            </w:pPr>
            <w:r>
              <w:rPr>
                <w:rFonts w:cs="Arial" w:ascii="Arial" w:hAnsi="Arial"/>
              </w:rPr>
            </w:r>
          </w:p>
          <w:p>
            <w:pPr>
              <w:pStyle w:val="Normal"/>
              <w:tabs>
                <w:tab w:val="clear" w:pos="720"/>
                <w:tab w:val="left" w:pos="-1440" w:leader="none"/>
                <w:tab w:val="left" w:pos="-720" w:leader="none"/>
                <w:tab w:val="left" w:pos="0" w:leader="none"/>
              </w:tabs>
              <w:ind w:start="360" w:end="0"/>
              <w:rPr>
                <w:rFonts w:ascii="Arial" w:hAnsi="Arial" w:cs="Arial"/>
              </w:rPr>
            </w:pPr>
            <w:r>
              <w:rPr>
                <w:rFonts w:cs="Arial" w:ascii="Arial" w:hAnsi="Arial"/>
              </w:rPr>
              <w:t>“</w:t>
            </w:r>
            <w:r>
              <w:rPr>
                <w:rFonts w:cs="Arial" w:ascii="Arial" w:hAnsi="Arial"/>
              </w:rPr>
              <w:t>, Accreted Amount (in the case of a Reference Obligation that is a Discount Bond)”</w:t>
            </w:r>
          </w:p>
          <w:p>
            <w:pPr>
              <w:pStyle w:val="Normal"/>
              <w:numPr>
                <w:ilvl w:val="0"/>
                <w:numId w:val="11"/>
              </w:numPr>
              <w:tabs>
                <w:tab w:val="clear" w:pos="720"/>
                <w:tab w:val="left" w:pos="-1440" w:leader="none"/>
                <w:tab w:val="left" w:pos="-720" w:leader="none"/>
                <w:tab w:val="left" w:pos="0" w:leader="none"/>
              </w:tabs>
              <w:spacing w:before="240" w:after="0"/>
              <w:rPr>
                <w:rFonts w:ascii="Arial" w:hAnsi="Arial" w:cs="Arial"/>
              </w:rPr>
            </w:pPr>
            <w:r>
              <w:rPr>
                <w:rFonts w:cs="Arial" w:ascii="Arial" w:hAnsi="Arial"/>
              </w:rPr>
              <w:t xml:space="preserve">Section 7.10 of the Credit Derivatives Definitions shall be amended by </w:t>
            </w:r>
          </w:p>
          <w:p>
            <w:pPr>
              <w:pStyle w:val="Normal"/>
              <w:tabs>
                <w:tab w:val="clear" w:pos="720"/>
                <w:tab w:val="left" w:pos="-1440" w:leader="none"/>
                <w:tab w:val="left" w:pos="-720" w:leader="none"/>
                <w:tab w:val="left" w:pos="0" w:leader="none"/>
              </w:tabs>
              <w:ind w:start="360" w:end="0"/>
              <w:rPr>
                <w:rFonts w:ascii="Arial" w:hAnsi="Arial" w:cs="Arial"/>
              </w:rPr>
            </w:pPr>
            <w:r>
              <w:rPr>
                <w:rFonts w:cs="Arial" w:ascii="Arial" w:hAnsi="Arial"/>
              </w:rPr>
              <w:t>inserting the following language in the fifth line thereof immediately after the words “outstanding principal balance”:</w:t>
            </w:r>
          </w:p>
          <w:p>
            <w:pPr>
              <w:pStyle w:val="Normal"/>
              <w:tabs>
                <w:tab w:val="clear" w:pos="720"/>
                <w:tab w:val="left" w:pos="-1440" w:leader="none"/>
                <w:tab w:val="left" w:pos="-720" w:leader="none"/>
                <w:tab w:val="left" w:pos="0" w:leader="none"/>
              </w:tabs>
              <w:ind w:start="360" w:end="0"/>
              <w:rPr>
                <w:rFonts w:ascii="Arial" w:hAnsi="Arial" w:cs="Arial"/>
              </w:rPr>
            </w:pPr>
            <w:r>
              <w:rPr>
                <w:rFonts w:cs="Arial" w:ascii="Arial" w:hAnsi="Arial"/>
              </w:rPr>
            </w:r>
          </w:p>
          <w:p>
            <w:pPr>
              <w:pStyle w:val="Normal"/>
              <w:tabs>
                <w:tab w:val="clear" w:pos="720"/>
                <w:tab w:val="left" w:pos="-1440" w:leader="none"/>
                <w:tab w:val="left" w:pos="-720" w:leader="none"/>
                <w:tab w:val="left" w:pos="0" w:leader="none"/>
              </w:tabs>
              <w:ind w:start="360" w:end="0"/>
              <w:rPr>
                <w:rFonts w:ascii="Arial" w:hAnsi="Arial" w:cs="Arial"/>
              </w:rPr>
            </w:pPr>
            <w:r>
              <w:rPr>
                <w:rFonts w:cs="Arial" w:ascii="Arial" w:hAnsi="Arial"/>
              </w:rPr>
              <w:t>“</w:t>
            </w:r>
            <w:r>
              <w:rPr>
                <w:rFonts w:cs="Arial" w:ascii="Arial" w:hAnsi="Arial"/>
              </w:rPr>
              <w:t>, Accreted Amount (in the case of a Reference Obligation that is a Discount Bond)”</w:t>
            </w:r>
          </w:p>
          <w:p>
            <w:pPr>
              <w:pStyle w:val="Normal"/>
              <w:numPr>
                <w:ilvl w:val="0"/>
                <w:numId w:val="11"/>
              </w:numPr>
              <w:tabs>
                <w:tab w:val="clear" w:pos="720"/>
                <w:tab w:val="left" w:pos="-1440" w:leader="none"/>
                <w:tab w:val="left" w:pos="-720" w:leader="none"/>
                <w:tab w:val="left" w:pos="0" w:leader="none"/>
              </w:tabs>
              <w:spacing w:before="240" w:after="0"/>
              <w:rPr>
                <w:rFonts w:ascii="Arial" w:hAnsi="Arial" w:cs="Arial"/>
              </w:rPr>
            </w:pPr>
            <w:r>
              <w:rPr>
                <w:rFonts w:cs="Arial" w:ascii="Arial" w:hAnsi="Arial"/>
              </w:rPr>
              <w:t xml:space="preserve">Section 7.11(a) of the Credit Derivatives Definitions shall be amended by deleting the following language from the second and third lines thereof: </w:t>
            </w:r>
          </w:p>
          <w:p>
            <w:pPr>
              <w:pStyle w:val="Normal"/>
              <w:tabs>
                <w:tab w:val="clear" w:pos="720"/>
                <w:tab w:val="left" w:pos="-1440" w:leader="none"/>
                <w:tab w:val="left" w:pos="-720" w:leader="none"/>
                <w:tab w:val="left" w:pos="0" w:leader="none"/>
              </w:tabs>
              <w:rPr>
                <w:rFonts w:ascii="Arial" w:hAnsi="Arial" w:cs="Arial"/>
              </w:rPr>
            </w:pPr>
            <w:r>
              <w:rPr>
                <w:rFonts w:cs="Arial" w:ascii="Arial" w:hAnsi="Arial"/>
              </w:rPr>
            </w:r>
          </w:p>
          <w:p>
            <w:pPr>
              <w:pStyle w:val="Normal"/>
              <w:tabs>
                <w:tab w:val="clear" w:pos="720"/>
                <w:tab w:val="left" w:pos="-1440" w:leader="none"/>
                <w:tab w:val="left" w:pos="-720" w:leader="none"/>
                <w:tab w:val="left" w:pos="0" w:leader="none"/>
              </w:tabs>
              <w:ind w:start="360" w:end="0"/>
              <w:rPr>
                <w:rFonts w:ascii="Arial" w:hAnsi="Arial" w:cs="Arial"/>
              </w:rPr>
            </w:pPr>
            <w:r>
              <w:rPr>
                <w:rFonts w:cs="Arial" w:ascii="Arial" w:hAnsi="Arial"/>
              </w:rPr>
              <w:t>“</w:t>
            </w:r>
            <w:r>
              <w:rPr>
                <w:rFonts w:cs="Arial" w:ascii="Arial" w:hAnsi="Arial"/>
              </w:rPr>
              <w:t>with only one Reference Obligation and only one Valuation Date”.</w:t>
            </w:r>
          </w:p>
          <w:p>
            <w:pPr>
              <w:pStyle w:val="Normal"/>
              <w:tabs>
                <w:tab w:val="clear" w:pos="720"/>
                <w:tab w:val="left" w:pos="-1440" w:leader="none"/>
                <w:tab w:val="left" w:pos="-720" w:leader="none"/>
                <w:tab w:val="left" w:pos="0" w:leader="none"/>
              </w:tabs>
              <w:ind w:start="360" w:end="0"/>
              <w:rPr>
                <w:rFonts w:ascii="Arial" w:hAnsi="Arial" w:cs="Arial"/>
              </w:rPr>
            </w:pPr>
            <w:r>
              <w:rPr>
                <w:rFonts w:cs="Arial" w:ascii="Arial" w:hAnsi="Arial"/>
              </w:rPr>
            </w:r>
          </w:p>
          <w:p>
            <w:pPr>
              <w:pStyle w:val="Normal"/>
              <w:tabs>
                <w:tab w:val="clear" w:pos="720"/>
                <w:tab w:val="left" w:pos="-1440" w:leader="none"/>
                <w:tab w:val="left" w:pos="-720" w:leader="none"/>
                <w:tab w:val="left" w:pos="0" w:leader="none"/>
              </w:tabs>
              <w:jc w:val="both"/>
              <w:rPr>
                <w:rFonts w:ascii="Arial" w:hAnsi="Arial" w:cs="Arial"/>
                <w:b/>
                <w:color w:val="000000"/>
                <w:u w:val="single"/>
              </w:rPr>
            </w:pPr>
            <w:r>
              <w:rPr>
                <w:rFonts w:cs="Arial" w:ascii="Arial" w:hAnsi="Arial"/>
                <w:b/>
                <w:color w:val="000000"/>
                <w:u w:val="single"/>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b/>
                <w:color w:val="000000"/>
                <w:u w:val="single"/>
              </w:rPr>
            </w:pPr>
            <w:r>
              <w:rPr>
                <w:rFonts w:cs="Arial" w:ascii="Arial" w:hAnsi="Arial"/>
                <w:b/>
                <w:color w:val="000000"/>
                <w:u w:val="single"/>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rPr>
                <w:rFonts w:ascii="Arial" w:hAnsi="Arial" w:cs="Arial"/>
                <w:color w:val="000000"/>
              </w:rPr>
            </w:pPr>
            <w:r>
              <w:rPr>
                <w:rFonts w:cs="Arial" w:ascii="Arial" w:hAnsi="Arial"/>
                <w:color w:val="000000"/>
              </w:rPr>
              <w:t>Dealers:</w:t>
            </w:r>
          </w:p>
        </w:tc>
        <w:tc>
          <w:tcPr>
            <w:tcW w:w="7152" w:type="dxa"/>
            <w:tcBorders/>
          </w:tcPr>
          <w:p>
            <w:pPr>
              <w:pStyle w:val="Header"/>
              <w:tabs>
                <w:tab w:val="clear" w:pos="4320"/>
                <w:tab w:val="clear" w:pos="8640"/>
              </w:tabs>
              <w:rPr>
                <w:rFonts w:ascii="Arial" w:hAnsi="Arial" w:cs="Arial"/>
              </w:rPr>
            </w:pPr>
            <w:r>
              <w:rPr>
                <w:rFonts w:cs="Arial" w:ascii="Arial" w:hAnsi="Arial"/>
              </w:rPr>
              <w:t>Deutsche Bank AG,</w:t>
            </w:r>
          </w:p>
          <w:p>
            <w:pPr>
              <w:pStyle w:val="Normal"/>
              <w:rPr>
                <w:rFonts w:ascii="Arial" w:hAnsi="Arial" w:cs="Arial"/>
              </w:rPr>
            </w:pPr>
            <w:r>
              <w:rPr>
                <w:rFonts w:cs="Arial" w:ascii="Arial" w:hAnsi="Arial"/>
              </w:rPr>
              <w:t>Morgan Stanley Dean Witter,</w:t>
            </w:r>
          </w:p>
          <w:p>
            <w:pPr>
              <w:pStyle w:val="Normal"/>
              <w:rPr>
                <w:rFonts w:ascii="Arial" w:hAnsi="Arial" w:cs="Arial"/>
              </w:rPr>
            </w:pPr>
            <w:r>
              <w:rPr>
                <w:rFonts w:cs="Arial" w:ascii="Arial" w:hAnsi="Arial"/>
              </w:rPr>
              <w:t>Credit Suisse First Boston,</w:t>
            </w:r>
          </w:p>
          <w:p>
            <w:pPr>
              <w:pStyle w:val="Normal"/>
              <w:rPr>
                <w:rFonts w:ascii="Arial" w:hAnsi="Arial" w:cs="Arial"/>
              </w:rPr>
            </w:pPr>
            <w:r>
              <w:rPr>
                <w:rFonts w:cs="Arial" w:ascii="Arial" w:hAnsi="Arial"/>
              </w:rPr>
              <w:t>Lehman Brothers,</w:t>
            </w:r>
          </w:p>
          <w:p>
            <w:pPr>
              <w:pStyle w:val="Normal"/>
              <w:rPr>
                <w:rFonts w:ascii="Arial" w:hAnsi="Arial" w:cs="Arial"/>
              </w:rPr>
            </w:pPr>
            <w:r>
              <w:rPr>
                <w:rFonts w:cs="Arial" w:ascii="Arial" w:hAnsi="Arial"/>
              </w:rPr>
              <w:t>Dresdner Bank AG,</w:t>
            </w:r>
          </w:p>
          <w:p>
            <w:pPr>
              <w:pStyle w:val="Normal"/>
              <w:rPr>
                <w:rFonts w:ascii="Arial" w:hAnsi="Arial" w:cs="Arial"/>
              </w:rPr>
            </w:pPr>
            <w:r>
              <w:rPr>
                <w:rFonts w:cs="Arial" w:ascii="Arial" w:hAnsi="Arial"/>
              </w:rPr>
              <w:t>Chase Manhattan Bank/JP Morgan,</w:t>
            </w:r>
          </w:p>
          <w:p>
            <w:pPr>
              <w:pStyle w:val="Normal"/>
              <w:rPr>
                <w:rFonts w:ascii="Arial" w:hAnsi="Arial" w:cs="Arial"/>
              </w:rPr>
            </w:pPr>
            <w:r>
              <w:rPr>
                <w:rFonts w:cs="Arial" w:ascii="Arial" w:hAnsi="Arial"/>
              </w:rPr>
              <w:t>Societe Generale,</w:t>
            </w:r>
          </w:p>
          <w:p>
            <w:pPr>
              <w:pStyle w:val="Normal"/>
              <w:rPr>
                <w:rFonts w:ascii="Arial" w:hAnsi="Arial" w:cs="Arial"/>
              </w:rPr>
            </w:pPr>
            <w:r>
              <w:rPr>
                <w:rFonts w:cs="Arial" w:ascii="Arial" w:hAnsi="Arial"/>
              </w:rPr>
              <w:t>Paribas / BNP,</w:t>
            </w:r>
          </w:p>
          <w:p>
            <w:pPr>
              <w:pStyle w:val="Normal"/>
              <w:rPr>
                <w:rFonts w:ascii="Arial" w:hAnsi="Arial" w:cs="Arial"/>
              </w:rPr>
            </w:pPr>
            <w:r>
              <w:rPr>
                <w:rFonts w:cs="Arial" w:ascii="Arial" w:hAnsi="Arial"/>
              </w:rPr>
              <w:t>Commerzbank AG,</w:t>
            </w:r>
          </w:p>
          <w:p>
            <w:pPr>
              <w:pStyle w:val="Normal"/>
              <w:rPr>
                <w:rFonts w:ascii="Arial" w:hAnsi="Arial" w:cs="Arial"/>
              </w:rPr>
            </w:pPr>
            <w:r>
              <w:rPr>
                <w:rFonts w:cs="Arial" w:ascii="Arial" w:hAnsi="Arial"/>
              </w:rPr>
              <w:t>ABN Amro,</w:t>
            </w:r>
          </w:p>
          <w:p>
            <w:pPr>
              <w:pStyle w:val="Normal"/>
              <w:rPr>
                <w:rFonts w:ascii="Arial" w:hAnsi="Arial" w:cs="Arial"/>
              </w:rPr>
            </w:pPr>
            <w:r>
              <w:rPr>
                <w:rFonts w:cs="Arial" w:ascii="Arial" w:hAnsi="Arial"/>
              </w:rPr>
              <w:t xml:space="preserve">Canadian Imperial Bank of Commerce </w:t>
            </w:r>
          </w:p>
          <w:p>
            <w:pPr>
              <w:pStyle w:val="Normal"/>
              <w:rPr>
                <w:rFonts w:ascii="Arial" w:hAnsi="Arial" w:cs="Arial"/>
              </w:rPr>
            </w:pPr>
            <w:r>
              <w:rPr>
                <w:rFonts w:cs="Arial" w:ascii="Arial" w:hAnsi="Arial"/>
              </w:rPr>
              <w:t>Merrill Lynch</w:t>
            </w:r>
          </w:p>
          <w:p>
            <w:pPr>
              <w:pStyle w:val="Normal"/>
              <w:rPr>
                <w:rFonts w:ascii="Arial" w:hAnsi="Arial" w:cs="Arial"/>
              </w:rPr>
            </w:pPr>
            <w:r>
              <w:rPr>
                <w:rFonts w:cs="Arial" w:ascii="Arial" w:hAnsi="Arial"/>
              </w:rPr>
              <w:t>Goldman Sachs</w:t>
            </w:r>
          </w:p>
          <w:p>
            <w:pPr>
              <w:pStyle w:val="Normal"/>
              <w:rPr>
                <w:rFonts w:ascii="Arial" w:hAnsi="Arial" w:cs="Arial"/>
              </w:rPr>
            </w:pPr>
            <w:r>
              <w:rPr>
                <w:rFonts w:cs="Arial" w:ascii="Arial" w:hAnsi="Arial"/>
              </w:rPr>
              <w:t xml:space="preserve">Citibank </w:t>
            </w:r>
          </w:p>
          <w:p>
            <w:pPr>
              <w:pStyle w:val="Normal"/>
              <w:rPr>
                <w:rFonts w:ascii="Arial" w:hAnsi="Arial" w:cs="Arial"/>
              </w:rPr>
            </w:pPr>
            <w:r>
              <w:rPr>
                <w:rFonts w:cs="Arial" w:ascii="Arial" w:hAnsi="Arial"/>
              </w:rPr>
              <w:t>Bear Stearns</w:t>
            </w:r>
          </w:p>
          <w:p>
            <w:pPr>
              <w:pStyle w:val="Normal"/>
              <w:rPr>
                <w:rFonts w:ascii="Arial" w:hAnsi="Arial" w:cs="Arial"/>
              </w:rPr>
            </w:pPr>
            <w:r>
              <w:rPr>
                <w:rFonts w:cs="Arial" w:ascii="Arial" w:hAnsi="Arial"/>
              </w:rPr>
              <w:t>UBS/Paine Webber; and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such other dealers as the parties mutually agree.</w:t>
            </w:r>
          </w:p>
          <w:p>
            <w:pPr>
              <w:pStyle w:val="Normal"/>
              <w:rPr>
                <w:rFonts w:ascii="Arial" w:hAnsi="Arial" w:cs="Arial"/>
              </w:rPr>
            </w:pPr>
            <w:r>
              <w:rPr>
                <w:rFonts w:cs="Arial" w:ascii="Arial" w:hAnsi="Arial"/>
              </w:rPr>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i/>
              </w:rPr>
              <w:t xml:space="preserve">Provided that </w:t>
            </w:r>
            <w:r>
              <w:rPr>
                <w:rFonts w:cs="Arial" w:ascii="Arial" w:hAnsi="Arial"/>
              </w:rPr>
              <w:t>if one of the Dealers from the above list ceases or has ceased to exist or a Bankruptcy occurs with respect to any Dealer then the Calculation Agent shall agree with Counterparty a substitute Dealer (who is a dealer in obligations of the type covered by this Transaction).  For the avoidance of doubt, each Dealer must meet the requirements set out in the first sentence of the definition of Dealer set out in Section 7.15 of the Credit Derivatives Definitions and shall not be an Affiliate of the Buyer.</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rPr>
                <w:rFonts w:ascii="Arial" w:hAnsi="Arial" w:cs="Arial"/>
                <w:color w:val="000000"/>
              </w:rPr>
            </w:pPr>
            <w:r>
              <w:rPr>
                <w:rFonts w:cs="Arial" w:ascii="Arial" w:hAnsi="Arial"/>
                <w:color w:val="000000"/>
              </w:rPr>
              <w:t>Credit Protection Seller</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means Counterparty and any other party that sells credit protection to Enron in respect of all the Reference Entities listed in Schedule A under a transaction in the form substantially similar to that set-out in this Confirmation provided that such credit protection has not terminated.</w:t>
            </w:r>
          </w:p>
          <w:p>
            <w:pPr>
              <w:pStyle w:val="Normal"/>
              <w:tabs>
                <w:tab w:val="clear" w:pos="720"/>
                <w:tab w:val="left" w:pos="-1440" w:leader="none"/>
                <w:tab w:val="left" w:pos="-720" w:leader="none"/>
                <w:tab w:val="left" w:pos="0" w:leader="none"/>
              </w:tabs>
              <w:jc w:val="both"/>
              <w:rPr>
                <w:rFonts w:ascii="Arial" w:hAnsi="Arial" w:eastAsia="Arial" w:cs="Arial"/>
                <w:color w:val="000000"/>
              </w:rPr>
            </w:pPr>
            <w:r>
              <w:rPr>
                <w:rFonts w:eastAsia="Arial" w:cs="Arial" w:ascii="Arial" w:hAnsi="Arial"/>
                <w:color w:val="000000"/>
              </w:rPr>
              <w:t xml:space="preserve"> </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rPr>
                <w:rFonts w:ascii="Arial" w:hAnsi="Arial" w:cs="Arial"/>
                <w:color w:val="000000"/>
              </w:rPr>
            </w:pPr>
            <w:r>
              <w:rPr>
                <w:rFonts w:cs="Arial" w:ascii="Arial" w:hAnsi="Arial"/>
                <w:color w:val="000000"/>
              </w:rPr>
              <w:t>Auction Process:</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 xml:space="preserve">Notwithstanding anything to the contrary contained in the Credit Derivatives Definitions and for the avoidance of doubt, </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r>
          </w:p>
          <w:p>
            <w:pPr>
              <w:pStyle w:val="Normal"/>
              <w:numPr>
                <w:ilvl w:val="0"/>
                <w:numId w:val="5"/>
              </w:numPr>
              <w:tabs>
                <w:tab w:val="clear" w:pos="720"/>
                <w:tab w:val="left" w:pos="-1440" w:leader="none"/>
                <w:tab w:val="left" w:pos="-720" w:leader="none"/>
              </w:tabs>
              <w:jc w:val="both"/>
              <w:rPr>
                <w:rFonts w:ascii="Arial" w:hAnsi="Arial" w:cs="Arial"/>
                <w:color w:val="000000"/>
              </w:rPr>
            </w:pPr>
            <w:r>
              <w:rPr>
                <w:rFonts w:cs="Arial" w:ascii="Arial" w:hAnsi="Arial"/>
                <w:color w:val="000000"/>
              </w:rPr>
              <w:t>For the purposes of Section 7.8 of the Credit Derivatives Definitions and settlement of the Transaction, the Calculation Agent shall first attempt to obtain Full Quotations from Dealers and Enron or a Weighted Average Quotation.  Immediately thereafter the Calculation Agent shall notify the Authorized Bidder of each Credit Protection Seller of the Quotations obtained from Dealers and Enron.  For the avoidance of doubt if no Quotation is obtained from a Dealer or Enron the Calculation Agent shall notify the Authorized Bidder of each Credit Protection Seller that the Highest Market Bid is “zero”.</w:t>
            </w:r>
          </w:p>
          <w:p>
            <w:pPr>
              <w:pStyle w:val="Normal"/>
              <w:tabs>
                <w:tab w:val="clear" w:pos="720"/>
                <w:tab w:val="left" w:pos="-1440" w:leader="none"/>
                <w:tab w:val="left" w:pos="-720" w:leader="none"/>
              </w:tabs>
              <w:ind w:start="24" w:end="0"/>
              <w:jc w:val="both"/>
              <w:rPr>
                <w:rFonts w:ascii="Arial" w:hAnsi="Arial" w:cs="Arial"/>
                <w:color w:val="000000"/>
              </w:rPr>
            </w:pPr>
            <w:r>
              <w:rPr>
                <w:rFonts w:cs="Arial" w:ascii="Arial" w:hAnsi="Arial"/>
                <w:color w:val="000000"/>
              </w:rPr>
            </w:r>
          </w:p>
          <w:p>
            <w:pPr>
              <w:pStyle w:val="Normal"/>
              <w:tabs>
                <w:tab w:val="clear" w:pos="720"/>
                <w:tab w:val="left" w:pos="-1440" w:leader="none"/>
                <w:tab w:val="left" w:pos="-720" w:leader="none"/>
                <w:tab w:val="left" w:pos="0" w:leader="none"/>
              </w:tabs>
              <w:ind w:start="384" w:end="0"/>
              <w:jc w:val="both"/>
              <w:rPr>
                <w:rFonts w:ascii="Arial" w:hAnsi="Arial" w:cs="Arial"/>
                <w:color w:val="000000"/>
              </w:rPr>
            </w:pPr>
            <w:r>
              <w:rPr>
                <w:rFonts w:cs="Arial" w:ascii="Arial" w:hAnsi="Arial"/>
                <w:color w:val="000000"/>
              </w:rPr>
              <w:t>For the avoidance of doubt, in the case of a Consent Required Loan each Quotation will be obtained on the basis that consent has been obtained for the transfer of such Loan to the Dealer or Credit Protection Seller providing the Quotation.</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rHeight w:val="8040" w:hRule="atLeast"/>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s>
              <w:snapToGrid w:val="false"/>
              <w:ind w:start="384" w:end="0"/>
              <w:jc w:val="both"/>
              <w:rPr>
                <w:rFonts w:ascii="Arial" w:hAnsi="Arial" w:cs="Arial"/>
                <w:color w:val="000000"/>
              </w:rPr>
            </w:pPr>
            <w:r>
              <w:rPr>
                <w:rFonts w:cs="Arial" w:ascii="Arial" w:hAnsi="Arial"/>
                <w:color w:val="000000"/>
              </w:rPr>
            </w:r>
          </w:p>
          <w:p>
            <w:pPr>
              <w:pStyle w:val="Normal"/>
              <w:tabs>
                <w:tab w:val="clear" w:pos="720"/>
                <w:tab w:val="left" w:pos="-1440" w:leader="none"/>
                <w:tab w:val="left" w:pos="-720" w:leader="none"/>
                <w:tab w:val="left" w:pos="384" w:leader="none"/>
              </w:tabs>
              <w:ind w:start="384" w:end="0"/>
              <w:jc w:val="both"/>
              <w:rPr/>
            </w:pPr>
            <w:r>
              <w:rPr>
                <w:rFonts w:cs="Arial" w:ascii="Arial" w:hAnsi="Arial"/>
                <w:b/>
                <w:bCs/>
                <w:i/>
                <w:iCs/>
                <w:color w:val="000000"/>
              </w:rPr>
              <w:t>(i) First Round.</w:t>
            </w:r>
            <w:r>
              <w:rPr>
                <w:rFonts w:cs="Arial" w:ascii="Arial" w:hAnsi="Arial"/>
                <w:color w:val="000000"/>
              </w:rPr>
              <w:t xml:space="preserve"> Each Credit Protection Seller shall have 15 minutes from the time of notification of the Quotations obtained from Dealers and Enron to equal or exceed the highest Full Quotation obtained from Dealers and Enron, or the Weighted Average Quotation, as applicable (the “</w:t>
            </w:r>
            <w:r>
              <w:rPr>
                <w:rFonts w:cs="Arial" w:ascii="Arial" w:hAnsi="Arial"/>
                <w:b/>
                <w:bCs/>
                <w:color w:val="000000"/>
              </w:rPr>
              <w:t>Highest Market Bid</w:t>
            </w:r>
            <w:r>
              <w:rPr>
                <w:rFonts w:cs="Arial" w:ascii="Arial" w:hAnsi="Arial"/>
                <w:color w:val="000000"/>
              </w:rPr>
              <w:t>”).  If only one Credit Protection Seller equals or exceeds the Highest Market Bid, such Credit Protection Sellers Full Quotation shall constitute (or in the case of a Reference Obligation that is a Discount Bond be used to determine) the Final Price.</w:t>
            </w:r>
          </w:p>
          <w:p>
            <w:pPr>
              <w:pStyle w:val="Normal"/>
              <w:tabs>
                <w:tab w:val="clear" w:pos="720"/>
                <w:tab w:val="left" w:pos="-1440" w:leader="none"/>
                <w:tab w:val="left" w:pos="-720" w:leader="none"/>
                <w:tab w:val="left" w:pos="384" w:leader="none"/>
              </w:tabs>
              <w:ind w:start="384" w:end="0"/>
              <w:jc w:val="both"/>
              <w:rPr>
                <w:rFonts w:ascii="Arial" w:hAnsi="Arial" w:cs="Arial"/>
                <w:color w:val="000000"/>
              </w:rPr>
            </w:pPr>
            <w:r>
              <w:rPr>
                <w:rFonts w:cs="Arial" w:ascii="Arial" w:hAnsi="Arial"/>
                <w:color w:val="000000"/>
              </w:rPr>
            </w:r>
          </w:p>
          <w:p>
            <w:pPr>
              <w:pStyle w:val="Normal"/>
              <w:tabs>
                <w:tab w:val="clear" w:pos="720"/>
                <w:tab w:val="left" w:pos="-1440" w:leader="none"/>
                <w:tab w:val="left" w:pos="-720" w:leader="none"/>
                <w:tab w:val="left" w:pos="384" w:leader="none"/>
              </w:tabs>
              <w:ind w:start="384" w:end="0"/>
              <w:jc w:val="both"/>
              <w:rPr/>
            </w:pPr>
            <w:r>
              <w:rPr>
                <w:rFonts w:cs="Arial" w:ascii="Arial" w:hAnsi="Arial"/>
                <w:b/>
                <w:bCs/>
                <w:i/>
                <w:iCs/>
                <w:color w:val="000000"/>
              </w:rPr>
              <w:t>(ii) First Round Failure.</w:t>
            </w:r>
            <w:r>
              <w:rPr>
                <w:rFonts w:cs="Arial" w:ascii="Arial" w:hAnsi="Arial"/>
                <w:b/>
                <w:bCs/>
                <w:color w:val="000000"/>
              </w:rPr>
              <w:t xml:space="preserve"> </w:t>
            </w:r>
            <w:r>
              <w:rPr>
                <w:rFonts w:cs="Arial" w:ascii="Arial" w:hAnsi="Arial"/>
                <w:color w:val="000000"/>
              </w:rPr>
              <w:t xml:space="preserve">If no Credit Protection Seller equals the Highest Market Bid, the Highest Market Bid shall constitute (or in the case of a Reference Obligation that is a Discount Bond be used to determine) the Final Price. </w:t>
            </w:r>
          </w:p>
          <w:p>
            <w:pPr>
              <w:pStyle w:val="Normal"/>
              <w:tabs>
                <w:tab w:val="clear" w:pos="720"/>
                <w:tab w:val="left" w:pos="-1440" w:leader="none"/>
                <w:tab w:val="left" w:pos="-720" w:leader="none"/>
                <w:tab w:val="left" w:pos="384" w:leader="none"/>
              </w:tabs>
              <w:ind w:start="384" w:end="0"/>
              <w:jc w:val="both"/>
              <w:rPr>
                <w:rFonts w:ascii="Arial" w:hAnsi="Arial" w:cs="Arial"/>
                <w:color w:val="000000"/>
              </w:rPr>
            </w:pPr>
            <w:r>
              <w:rPr>
                <w:rFonts w:cs="Arial" w:ascii="Arial" w:hAnsi="Arial"/>
                <w:color w:val="000000"/>
              </w:rPr>
            </w:r>
          </w:p>
          <w:p>
            <w:pPr>
              <w:pStyle w:val="Normal"/>
              <w:tabs>
                <w:tab w:val="clear" w:pos="720"/>
                <w:tab w:val="left" w:pos="-1440" w:leader="none"/>
                <w:tab w:val="left" w:pos="-720" w:leader="none"/>
                <w:tab w:val="left" w:pos="384" w:leader="none"/>
              </w:tabs>
              <w:ind w:start="384" w:end="0"/>
              <w:jc w:val="both"/>
              <w:rPr/>
            </w:pPr>
            <w:r>
              <w:rPr>
                <w:rFonts w:cs="Arial" w:ascii="Arial" w:hAnsi="Arial"/>
                <w:b/>
                <w:bCs/>
                <w:i/>
                <w:iCs/>
                <w:color w:val="000000"/>
              </w:rPr>
              <w:t>(iii) Second Round.</w:t>
            </w:r>
            <w:r>
              <w:rPr>
                <w:rFonts w:cs="Arial" w:ascii="Arial" w:hAnsi="Arial"/>
                <w:color w:val="000000"/>
              </w:rPr>
              <w:t xml:space="preserve"> If two or more Credit Protection Sellers equal or exceed the Highest Market Bid (each a “</w:t>
            </w:r>
            <w:r>
              <w:rPr>
                <w:rFonts w:cs="Arial" w:ascii="Arial" w:hAnsi="Arial"/>
                <w:b/>
                <w:bCs/>
                <w:color w:val="000000"/>
              </w:rPr>
              <w:t>Bidding CP Seller</w:t>
            </w:r>
            <w:r>
              <w:rPr>
                <w:rFonts w:cs="Arial" w:ascii="Arial" w:hAnsi="Arial"/>
                <w:color w:val="000000"/>
              </w:rPr>
              <w:t>”) the Calculation Agent shall notify each Bidding CP Seller of the other Bidding CP Sellers Full Quotations and this ‘</w:t>
            </w:r>
            <w:r>
              <w:rPr>
                <w:rFonts w:cs="Arial" w:ascii="Arial" w:hAnsi="Arial"/>
                <w:i/>
                <w:iCs/>
                <w:color w:val="000000"/>
              </w:rPr>
              <w:t>Second Round’</w:t>
            </w:r>
            <w:r>
              <w:rPr>
                <w:rFonts w:cs="Arial" w:ascii="Arial" w:hAnsi="Arial"/>
                <w:color w:val="000000"/>
              </w:rPr>
              <w:t xml:space="preserve"> provision shall apply. Each Bidding CP Seller shall then have 30 minutes from notification to submit a revised Full Quotation. </w:t>
            </w:r>
          </w:p>
          <w:p>
            <w:pPr>
              <w:pStyle w:val="Normal"/>
              <w:tabs>
                <w:tab w:val="clear" w:pos="720"/>
                <w:tab w:val="left" w:pos="-1440" w:leader="none"/>
                <w:tab w:val="left" w:pos="-720" w:leader="none"/>
                <w:tab w:val="left" w:pos="384" w:leader="none"/>
              </w:tabs>
              <w:ind w:start="384" w:end="0"/>
              <w:jc w:val="both"/>
              <w:rPr>
                <w:rFonts w:ascii="Arial" w:hAnsi="Arial" w:cs="Arial"/>
                <w:color w:val="000000"/>
              </w:rPr>
            </w:pPr>
            <w:r>
              <w:rPr>
                <w:rFonts w:cs="Arial" w:ascii="Arial" w:hAnsi="Arial"/>
                <w:color w:val="000000"/>
              </w:rPr>
            </w:r>
          </w:p>
          <w:p>
            <w:pPr>
              <w:pStyle w:val="Normal"/>
              <w:tabs>
                <w:tab w:val="clear" w:pos="720"/>
                <w:tab w:val="left" w:pos="-1440" w:leader="none"/>
                <w:tab w:val="left" w:pos="-720" w:leader="none"/>
                <w:tab w:val="left" w:pos="384" w:leader="none"/>
              </w:tabs>
              <w:ind w:start="384" w:end="0"/>
              <w:jc w:val="both"/>
              <w:rPr/>
            </w:pPr>
            <w:r>
              <w:rPr>
                <w:rFonts w:cs="Arial" w:ascii="Arial" w:hAnsi="Arial"/>
                <w:color w:val="000000"/>
              </w:rPr>
              <w:t xml:space="preserve">If Bidding CP Sellers provide revised Full Quotations that exceed the highest Full Quotation provided by each Bidding CP Seller in the </w:t>
            </w:r>
            <w:r>
              <w:rPr>
                <w:rFonts w:cs="Arial" w:ascii="Arial" w:hAnsi="Arial"/>
                <w:i/>
                <w:iCs/>
                <w:color w:val="000000"/>
              </w:rPr>
              <w:t xml:space="preserve">‘First Round’ </w:t>
            </w:r>
            <w:r>
              <w:rPr>
                <w:rFonts w:cs="Arial" w:ascii="Arial" w:hAnsi="Arial"/>
                <w:color w:val="000000"/>
              </w:rPr>
              <w:t>the highest</w:t>
            </w:r>
            <w:r>
              <w:rPr>
                <w:rFonts w:cs="Arial" w:ascii="Arial" w:hAnsi="Arial"/>
                <w:i/>
                <w:iCs/>
                <w:color w:val="000000"/>
              </w:rPr>
              <w:t xml:space="preserve"> </w:t>
            </w:r>
            <w:r>
              <w:rPr>
                <w:rFonts w:cs="Arial" w:ascii="Arial" w:hAnsi="Arial"/>
                <w:color w:val="000000"/>
              </w:rPr>
              <w:t>such Quotation shall constitute (or in the case of a Reference Obligation that is a Discount Bond be used to determine) the Final Price.</w:t>
            </w:r>
            <w:r>
              <w:rPr>
                <w:rFonts w:cs="Arial" w:ascii="Arial" w:hAnsi="Arial"/>
                <w:i/>
                <w:iCs/>
                <w:color w:val="000000"/>
              </w:rPr>
              <w:t xml:space="preserve"> </w:t>
            </w:r>
          </w:p>
          <w:p>
            <w:pPr>
              <w:pStyle w:val="Normal"/>
              <w:tabs>
                <w:tab w:val="clear" w:pos="720"/>
                <w:tab w:val="left" w:pos="-1440" w:leader="none"/>
                <w:tab w:val="left" w:pos="-720" w:leader="none"/>
                <w:tab w:val="left" w:pos="384" w:leader="none"/>
              </w:tabs>
              <w:ind w:start="384" w:end="0"/>
              <w:jc w:val="both"/>
              <w:rPr>
                <w:rFonts w:ascii="Arial" w:hAnsi="Arial" w:cs="Arial"/>
                <w:i/>
                <w:i/>
                <w:iCs/>
                <w:color w:val="000000"/>
              </w:rPr>
            </w:pPr>
            <w:r>
              <w:rPr>
                <w:rFonts w:cs="Arial" w:ascii="Arial" w:hAnsi="Arial"/>
                <w:i/>
                <w:iCs/>
                <w:color w:val="000000"/>
              </w:rPr>
            </w:r>
          </w:p>
          <w:p>
            <w:pPr>
              <w:pStyle w:val="Normal"/>
              <w:tabs>
                <w:tab w:val="clear" w:pos="720"/>
                <w:tab w:val="left" w:pos="-1440" w:leader="none"/>
                <w:tab w:val="left" w:pos="-720" w:leader="none"/>
              </w:tabs>
              <w:ind w:start="384" w:end="0"/>
              <w:jc w:val="both"/>
              <w:rPr/>
            </w:pPr>
            <w:r>
              <w:rPr>
                <w:rFonts w:cs="Arial" w:ascii="Arial" w:hAnsi="Arial"/>
                <w:color w:val="000000"/>
              </w:rPr>
              <w:t xml:space="preserve">If a Bidding CP Seller does not exceed the highest Full Quotation provided in the ‘First Round’ such Quotation shall constitute (or in the case of a Reference Obligation that is a Discount Bond be used to determine) the Final Price.  For the avoidance of doubt in such circumstances any Quotation provided by a Bidding CP Seller in the </w:t>
            </w:r>
            <w:r>
              <w:rPr>
                <w:rFonts w:cs="Arial" w:ascii="Arial" w:hAnsi="Arial"/>
                <w:i/>
                <w:iCs/>
                <w:color w:val="000000"/>
              </w:rPr>
              <w:t>Second Round</w:t>
            </w:r>
            <w:r>
              <w:rPr>
                <w:rFonts w:cs="Arial" w:ascii="Arial" w:hAnsi="Arial"/>
                <w:color w:val="000000"/>
              </w:rPr>
              <w:t xml:space="preserve"> shall not constitute a revocation, rescission or cancellation of the offer constituted by any Quotation provided by it in the </w:t>
            </w:r>
            <w:r>
              <w:rPr>
                <w:rFonts w:cs="Arial" w:ascii="Arial" w:hAnsi="Arial"/>
                <w:i/>
                <w:iCs/>
                <w:color w:val="000000"/>
              </w:rPr>
              <w:t>First Round.</w:t>
            </w:r>
            <w:r>
              <w:rPr>
                <w:rFonts w:cs="Arial" w:ascii="Arial" w:hAnsi="Arial"/>
                <w:color w:val="000000"/>
              </w:rPr>
              <w:t xml:space="preserve"> </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s>
              <w:ind w:start="384" w:end="0"/>
              <w:jc w:val="both"/>
              <w:rPr/>
            </w:pPr>
            <w:r>
              <w:rPr>
                <w:rFonts w:cs="Arial" w:ascii="Arial" w:hAnsi="Arial"/>
                <w:b/>
                <w:bCs/>
                <w:i/>
                <w:iCs/>
                <w:color w:val="000000"/>
              </w:rPr>
              <w:t>(iv) Bidding CP Sellers Priority.</w:t>
            </w:r>
            <w:r>
              <w:rPr>
                <w:rFonts w:cs="Arial" w:ascii="Arial" w:hAnsi="Arial"/>
                <w:color w:val="000000"/>
              </w:rPr>
              <w:t xml:space="preserve">  If after the </w:t>
            </w:r>
            <w:r>
              <w:rPr>
                <w:rFonts w:cs="Arial" w:ascii="Arial" w:hAnsi="Arial"/>
                <w:i/>
                <w:iCs/>
                <w:color w:val="000000"/>
              </w:rPr>
              <w:t>Second Round</w:t>
            </w:r>
            <w:r>
              <w:rPr>
                <w:rFonts w:cs="Arial" w:ascii="Arial" w:hAnsi="Arial"/>
                <w:color w:val="000000"/>
              </w:rPr>
              <w:t xml:space="preserve"> two or more Bidding CP Sellers have provided the same highest Full Quotation the Quotation provided by the Bidding CP Seller with the lowest Credit Protection Trigger Level shall constitute (or in the case of a Reference Obligation that is a Discount Bond be used to determine) the Final Price.</w:t>
            </w:r>
          </w:p>
          <w:p>
            <w:pPr>
              <w:pStyle w:val="Normal"/>
              <w:tabs>
                <w:tab w:val="clear" w:pos="720"/>
                <w:tab w:val="left" w:pos="-1440" w:leader="none"/>
                <w:tab w:val="left" w:pos="-720" w:leader="none"/>
              </w:tabs>
              <w:ind w:start="384" w:end="0"/>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numPr>
                <w:ilvl w:val="0"/>
                <w:numId w:val="6"/>
              </w:numPr>
              <w:tabs>
                <w:tab w:val="clear" w:pos="720"/>
                <w:tab w:val="left" w:pos="-1440" w:leader="none"/>
                <w:tab w:val="left" w:pos="-720" w:leader="none"/>
              </w:tabs>
              <w:jc w:val="both"/>
              <w:rPr>
                <w:rFonts w:ascii="Arial" w:hAnsi="Arial" w:cs="Arial"/>
                <w:color w:val="000000"/>
              </w:rPr>
            </w:pPr>
            <w:r>
              <w:rPr>
                <w:rFonts w:cs="Arial" w:ascii="Arial" w:hAnsi="Arial"/>
                <w:color w:val="000000"/>
              </w:rPr>
              <w:t>each Full Quotation provided by a Credit Protection Seller under the Transaction shall constitute (i) an irrevocable offer by the Credit Protection Seller to purchase an amount of the Reference Obligation with an outstanding principal balance or Accreted Amount (in the case of a Reference Obligation that is a Discount Bond) equal to the Quotation Amount of the applicable Reference Obligation at the price stated in its firm quotation and (ii) a representation by Credit Protection Seller that it is capable of taking Delivery of the applicable Reference Obligation in accordance with the terms of the Reference Obligation and Credit Protection Seller’s constituent documents.</w:t>
            </w:r>
          </w:p>
          <w:p>
            <w:pPr>
              <w:pStyle w:val="Normal"/>
              <w:tabs>
                <w:tab w:val="clear" w:pos="720"/>
                <w:tab w:val="left" w:pos="-1440" w:leader="none"/>
                <w:tab w:val="left" w:pos="-720" w:leader="none"/>
                <w:tab w:val="left" w:pos="384" w:leader="none"/>
              </w:tabs>
              <w:ind w:start="24" w:end="0"/>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Authorized Bidder:</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means in respect of each Auction Process, and Counterparty, the person authorized by Counterparty to participate in the Auction on its behalf.  Counterparty shall forward the name and telephone number of its Authorized Bidder no later than the third (3</w:t>
            </w:r>
            <w:r>
              <w:rPr>
                <w:rFonts w:cs="Arial" w:ascii="Arial" w:hAnsi="Arial"/>
                <w:color w:val="000000"/>
                <w:vertAlign w:val="superscript"/>
              </w:rPr>
              <w:t>rd</w:t>
            </w:r>
            <w:r>
              <w:rPr>
                <w:rFonts w:cs="Arial" w:ascii="Arial" w:hAnsi="Arial"/>
                <w:color w:val="000000"/>
              </w:rPr>
              <w:t>) Business Day immediately preceding the relevant Valuation Date.</w:t>
            </w:r>
          </w:p>
        </w:tc>
      </w:tr>
    </w:tbl>
    <w:p>
      <w:pPr>
        <w:pStyle w:val="Normal"/>
        <w:rPr/>
      </w:pPr>
      <w:r>
        <w:br w:type="page"/>
      </w:r>
      <w:r>
        <w:rPr/>
      </w:r>
    </w:p>
    <w:tbl>
      <w:tblPr>
        <w:tblW w:w="10980" w:type="dxa"/>
        <w:jc w:val="start"/>
        <w:tblInd w:w="108" w:type="dxa"/>
        <w:tblLayout w:type="fixed"/>
        <w:tblCellMar>
          <w:top w:w="0" w:type="dxa"/>
          <w:start w:w="108" w:type="dxa"/>
          <w:bottom w:w="0" w:type="dxa"/>
          <w:end w:w="108" w:type="dxa"/>
        </w:tblCellMar>
      </w:tblPr>
      <w:tblGrid>
        <w:gridCol w:w="567"/>
        <w:gridCol w:w="3261"/>
        <w:gridCol w:w="7152"/>
      </w:tblGrid>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jc w:val="both"/>
              <w:rPr>
                <w:rFonts w:ascii="Arial" w:hAnsi="Arial" w:cs="Arial"/>
                <w:b/>
                <w:bCs/>
                <w:color w:val="000000"/>
              </w:rPr>
            </w:pPr>
            <w:r>
              <w:rPr>
                <w:rFonts w:cs="Arial" w:ascii="Arial" w:hAnsi="Arial"/>
                <w:b/>
                <w:bCs/>
                <w:color w:val="000000"/>
              </w:rPr>
              <w:t>5.</w:t>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b/>
                <w:bCs/>
                <w:color w:val="000000"/>
                <w:u w:val="single"/>
              </w:rPr>
            </w:pPr>
            <w:r>
              <w:rPr>
                <w:rFonts w:cs="Arial" w:ascii="Arial" w:hAnsi="Arial"/>
                <w:b/>
                <w:bCs/>
                <w:color w:val="000000"/>
                <w:u w:val="single"/>
              </w:rPr>
              <w:t xml:space="preserve">Related Physical Settlement: </w:t>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b/>
                <w:bCs/>
                <w:color w:val="000000"/>
                <w:u w:val="single"/>
              </w:rPr>
            </w:pPr>
            <w:r>
              <w:rPr>
                <w:rFonts w:cs="Arial" w:ascii="Arial" w:hAnsi="Arial"/>
                <w:b/>
                <w:bCs/>
                <w:color w:val="000000"/>
                <w:u w:val="single"/>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numPr>
                <w:ilvl w:val="0"/>
                <w:numId w:val="7"/>
              </w:numPr>
              <w:tabs>
                <w:tab w:val="clear" w:pos="720"/>
                <w:tab w:val="left" w:pos="-1440" w:leader="none"/>
                <w:tab w:val="left" w:pos="-720" w:leader="none"/>
                <w:tab w:val="left" w:pos="384" w:leader="none"/>
              </w:tabs>
              <w:ind w:hanging="360" w:start="384" w:end="0"/>
              <w:jc w:val="both"/>
              <w:rPr>
                <w:rFonts w:ascii="Arial" w:hAnsi="Arial" w:cs="Arial"/>
                <w:color w:val="000000"/>
              </w:rPr>
            </w:pPr>
            <w:r>
              <w:rPr>
                <w:rFonts w:cs="Arial" w:ascii="Arial" w:hAnsi="Arial"/>
                <w:b/>
                <w:bCs/>
                <w:color w:val="000000"/>
              </w:rPr>
              <w:t>Standard RP Settlement.</w:t>
            </w:r>
            <w:r>
              <w:rPr>
                <w:rFonts w:cs="Arial" w:ascii="Arial" w:hAnsi="Arial"/>
                <w:color w:val="000000"/>
              </w:rPr>
              <w:t xml:space="preserve"> If Counterpartys Full Quotation constitutes (or in the case of a Reference Obligation that is a Discount Bond is used to determine) the Final Price pursuant to the </w:t>
            </w:r>
            <w:r>
              <w:rPr>
                <w:rFonts w:cs="Arial" w:ascii="Arial" w:hAnsi="Arial"/>
                <w:i/>
                <w:iCs/>
                <w:color w:val="000000"/>
              </w:rPr>
              <w:t xml:space="preserve">Auction Process, </w:t>
            </w:r>
            <w:r>
              <w:rPr>
                <w:rFonts w:cs="Arial" w:ascii="Arial" w:hAnsi="Arial"/>
                <w:color w:val="000000"/>
              </w:rPr>
              <w:t>Enron shall</w:t>
            </w:r>
            <w:r>
              <w:rPr>
                <w:rFonts w:cs="Arial" w:ascii="Arial" w:hAnsi="Arial"/>
                <w:i/>
                <w:iCs/>
                <w:color w:val="000000"/>
              </w:rPr>
              <w:t xml:space="preserve"> </w:t>
            </w:r>
            <w:r>
              <w:rPr>
                <w:rFonts w:cs="Arial" w:ascii="Arial" w:hAnsi="Arial"/>
                <w:color w:val="000000"/>
              </w:rPr>
              <w:t xml:space="preserve">accept Counterparty’s offer in respect of the Reference Obligation provided that Counterparty can take Delivery of the Reference Obligation in accordance with the terms of the Reference Obligation and applicable law.  Upon such acceptance by Enron, Counterparty shall pay to Enron an amount in the Settlement Currency equal to the Final Price of the Reference Obligation multiplied by the Quotation Amount of the applicable Reference Obligation (as determined by the Calculation Agent by reference to the Currency Rate </w:t>
            </w:r>
            <w:r>
              <w:rPr>
                <w:rFonts w:cs="Arial" w:ascii="Arial" w:hAnsi="Arial"/>
                <w:b/>
                <w:bCs/>
                <w:i/>
                <w:iCs/>
                <w:color w:val="000000"/>
              </w:rPr>
              <w:t>subject to ‘Delayed RP Settlement’ below</w:t>
            </w:r>
            <w:r>
              <w:rPr>
                <w:rFonts w:cs="Arial" w:ascii="Arial" w:hAnsi="Arial"/>
                <w:color w:val="000000"/>
              </w:rPr>
              <w:t>), versus Delivery by Enron of an amount of the Reference Obligation with an outstanding principal balance or Accreted Amount (in the case of a Reference Obligation that is a Discount Bond) equal to the Quotation Amount of the applicable Reference Obligation.  Such payment and Delivery shall be made contemporaneously on the Cash Settlement Date (or as soon as is reasonably practicable thereafter having regard to the customary period for settlement of the applicable Reference Obligation but in any event no later than the 27</w:t>
            </w:r>
            <w:r>
              <w:rPr>
                <w:rFonts w:cs="Arial" w:ascii="Arial" w:hAnsi="Arial"/>
                <w:color w:val="000000"/>
                <w:vertAlign w:val="superscript"/>
              </w:rPr>
              <w:t>th</w:t>
            </w:r>
            <w:r>
              <w:rPr>
                <w:rFonts w:cs="Arial" w:ascii="Arial" w:hAnsi="Arial"/>
                <w:color w:val="000000"/>
              </w:rPr>
              <w:t xml:space="preserve"> Business Day following the Cash Settlement Date). </w:t>
            </w:r>
          </w:p>
          <w:p>
            <w:pPr>
              <w:pStyle w:val="Normal"/>
              <w:tabs>
                <w:tab w:val="clear" w:pos="720"/>
                <w:tab w:val="left" w:pos="-1440" w:leader="none"/>
                <w:tab w:val="left" w:pos="-720" w:leader="none"/>
                <w:tab w:val="left" w:pos="0" w:leader="none"/>
                <w:tab w:val="left" w:pos="384" w:leader="none"/>
              </w:tabs>
              <w:ind w:hanging="360" w:start="384" w:end="0"/>
              <w:jc w:val="both"/>
              <w:rPr>
                <w:rFonts w:ascii="Arial" w:hAnsi="Arial" w:cs="Arial"/>
                <w:color w:val="000000"/>
              </w:rPr>
            </w:pPr>
            <w:r>
              <w:rPr>
                <w:rFonts w:cs="Arial" w:ascii="Arial" w:hAnsi="Arial"/>
                <w:color w:val="000000"/>
              </w:rPr>
            </w:r>
          </w:p>
          <w:p>
            <w:pPr>
              <w:pStyle w:val="Normal"/>
              <w:numPr>
                <w:ilvl w:val="0"/>
                <w:numId w:val="7"/>
              </w:numPr>
              <w:tabs>
                <w:tab w:val="clear" w:pos="720"/>
                <w:tab w:val="left" w:pos="-1440" w:leader="none"/>
                <w:tab w:val="left" w:pos="-720" w:leader="none"/>
                <w:tab w:val="left" w:pos="384" w:leader="none"/>
              </w:tabs>
              <w:ind w:hanging="360" w:start="384" w:end="0"/>
              <w:jc w:val="both"/>
              <w:rPr>
                <w:rFonts w:ascii="Arial" w:hAnsi="Arial" w:cs="Arial"/>
                <w:b/>
                <w:bCs/>
                <w:color w:val="000000"/>
              </w:rPr>
            </w:pPr>
            <w:r>
              <w:rPr>
                <w:rFonts w:cs="Arial" w:ascii="Arial" w:hAnsi="Arial"/>
                <w:b/>
                <w:bCs/>
                <w:color w:val="000000"/>
              </w:rPr>
              <w:t xml:space="preserve">Delayed RP Settlement. </w:t>
            </w:r>
            <w:r>
              <w:rPr>
                <w:rFonts w:cs="Arial" w:ascii="Arial" w:hAnsi="Arial"/>
                <w:color w:val="000000"/>
              </w:rPr>
              <w:t>Notwithstanding the foregoing, in the event that Enron does not Deliver the applicable Reference Obligation on or before the fifth (5</w:t>
            </w:r>
            <w:r>
              <w:rPr>
                <w:rFonts w:cs="Arial" w:ascii="Arial" w:hAnsi="Arial"/>
                <w:color w:val="000000"/>
                <w:vertAlign w:val="superscript"/>
              </w:rPr>
              <w:t>th</w:t>
            </w:r>
            <w:r>
              <w:rPr>
                <w:rFonts w:cs="Arial" w:ascii="Arial" w:hAnsi="Arial"/>
                <w:color w:val="000000"/>
              </w:rPr>
              <w:t>) Business Day following the Cash Settlement Date the reference rate shall not be the Currency Rate but shall be the Federal Reserve Bank of New York 10:00 am (New York time) midpoint rate as displayed on Reuters page FEDSPOT on the 5</w:t>
            </w:r>
            <w:r>
              <w:rPr>
                <w:rFonts w:cs="Arial" w:ascii="Arial" w:hAnsi="Arial"/>
                <w:color w:val="000000"/>
                <w:vertAlign w:val="superscript"/>
              </w:rPr>
              <w:t>th</w:t>
            </w:r>
            <w:r>
              <w:rPr>
                <w:rFonts w:cs="Arial" w:ascii="Arial" w:hAnsi="Arial"/>
                <w:color w:val="000000"/>
              </w:rPr>
              <w:t xml:space="preserve"> Business Day immediately preceding the day that the Reference Obligation is in fact Delivered by Enron to Counterparty.</w:t>
            </w:r>
          </w:p>
          <w:p>
            <w:pPr>
              <w:pStyle w:val="Normal"/>
              <w:tabs>
                <w:tab w:val="clear" w:pos="720"/>
                <w:tab w:val="left" w:pos="-1440" w:leader="none"/>
                <w:tab w:val="left" w:pos="-720" w:leader="none"/>
                <w:tab w:val="left" w:pos="0" w:leader="none"/>
              </w:tabs>
              <w:jc w:val="both"/>
              <w:rPr>
                <w:rFonts w:ascii="Arial" w:hAnsi="Arial" w:cs="Arial"/>
                <w:b/>
                <w:bCs/>
                <w:color w:val="000000"/>
              </w:rPr>
            </w:pPr>
            <w:r>
              <w:rPr>
                <w:rFonts w:cs="Arial" w:ascii="Arial" w:hAnsi="Arial"/>
                <w:b/>
                <w:bCs/>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b/>
                <w:bCs/>
                <w:color w:val="000000"/>
              </w:rPr>
            </w:pPr>
            <w:r>
              <w:rPr>
                <w:rFonts w:cs="Arial" w:ascii="Arial" w:hAnsi="Arial"/>
                <w:b/>
                <w:bCs/>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b/>
                <w:bCs/>
                <w:color w:val="000000"/>
              </w:rPr>
            </w:pPr>
            <w:r>
              <w:rPr>
                <w:rFonts w:cs="Arial" w:ascii="Arial" w:hAnsi="Arial"/>
                <w:b/>
                <w:bCs/>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b/>
                <w:bCs/>
                <w:color w:val="000000"/>
              </w:rPr>
            </w:pPr>
            <w:r>
              <w:rPr>
                <w:rFonts w:cs="Arial" w:ascii="Arial" w:hAnsi="Arial"/>
                <w:b/>
                <w:bCs/>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jc w:val="both"/>
              <w:rPr>
                <w:rFonts w:ascii="Arial" w:hAnsi="Arial" w:cs="Arial"/>
                <w:b/>
                <w:bCs/>
                <w:color w:val="000000"/>
              </w:rPr>
            </w:pPr>
            <w:r>
              <w:rPr>
                <w:rFonts w:cs="Arial" w:ascii="Arial" w:hAnsi="Arial"/>
                <w:b/>
                <w:bCs/>
                <w:color w:val="000000"/>
              </w:rPr>
              <w:t>6.</w:t>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b/>
                <w:bCs/>
                <w:color w:val="000000"/>
                <w:u w:val="single"/>
              </w:rPr>
            </w:pPr>
            <w:r>
              <w:rPr>
                <w:rFonts w:cs="Arial" w:ascii="Arial" w:hAnsi="Arial"/>
                <w:b/>
                <w:bCs/>
                <w:color w:val="000000"/>
                <w:u w:val="single"/>
              </w:rPr>
              <w:t>Notice and Account Details:</w:t>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b/>
                <w:bCs/>
                <w:color w:val="000000"/>
                <w:u w:val="single"/>
              </w:rPr>
            </w:pPr>
            <w:r>
              <w:rPr>
                <w:rFonts w:cs="Arial" w:ascii="Arial" w:hAnsi="Arial"/>
                <w:b/>
                <w:bCs/>
                <w:color w:val="000000"/>
                <w:u w:val="single"/>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left" w:pos="-1440" w:leader="none"/>
                <w:tab w:val="left" w:pos="-720" w:leader="none"/>
                <w:tab w:val="left" w:pos="-108" w:leader="none"/>
                <w:tab w:val="left" w:pos="502" w:leader="none"/>
                <w:tab w:val="left" w:pos="720" w:leader="none"/>
                <w:tab w:val="left" w:pos="1440" w:leader="none"/>
                <w:tab w:val="left" w:pos="2160" w:leader="none"/>
                <w:tab w:val="left" w:pos="2752" w:leader="none"/>
                <w:tab w:val="left" w:pos="3600" w:leader="none"/>
              </w:tabs>
              <w:jc w:val="both"/>
              <w:rPr>
                <w:rFonts w:ascii="Arial" w:hAnsi="Arial" w:cs="Arial"/>
                <w:b/>
                <w:bCs/>
                <w:color w:val="000000"/>
              </w:rPr>
            </w:pPr>
            <w:r>
              <w:rPr>
                <w:rFonts w:cs="Arial" w:ascii="Arial" w:hAnsi="Arial"/>
                <w:b/>
                <w:bCs/>
                <w:color w:val="000000"/>
              </w:rPr>
              <w:t>Telephone, Telex and/or</w:t>
            </w:r>
          </w:p>
          <w:p>
            <w:pPr>
              <w:pStyle w:val="Normal"/>
              <w:tabs>
                <w:tab w:val="left" w:pos="-1440" w:leader="none"/>
                <w:tab w:val="left" w:pos="-720" w:leader="none"/>
                <w:tab w:val="left" w:pos="-108" w:leader="none"/>
                <w:tab w:val="left" w:pos="502" w:leader="none"/>
                <w:tab w:val="left" w:pos="720" w:leader="none"/>
                <w:tab w:val="left" w:pos="1440" w:leader="none"/>
                <w:tab w:val="left" w:pos="2160" w:leader="none"/>
                <w:tab w:val="left" w:pos="2752" w:leader="none"/>
                <w:tab w:val="left" w:pos="3600" w:leader="none"/>
              </w:tabs>
              <w:jc w:val="both"/>
              <w:rPr>
                <w:rFonts w:ascii="Arial" w:hAnsi="Arial" w:cs="Arial"/>
                <w:b/>
                <w:bCs/>
                <w:color w:val="000000"/>
              </w:rPr>
            </w:pPr>
            <w:r>
              <w:rPr>
                <w:rFonts w:cs="Arial" w:ascii="Arial" w:hAnsi="Arial"/>
                <w:b/>
                <w:bCs/>
                <w:color w:val="000000"/>
              </w:rPr>
              <w:t>Facsimile Numbers and</w:t>
            </w:r>
          </w:p>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b/>
                <w:bCs/>
                <w:color w:val="000000"/>
              </w:rPr>
              <w:t>Contact Details for Notices:</w:t>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rPr>
              <w:t>Notices to Enron:</w:t>
            </w:r>
          </w:p>
        </w:tc>
        <w:tc>
          <w:tcPr>
            <w:tcW w:w="7152" w:type="dxa"/>
            <w:tcBorders/>
          </w:tcPr>
          <w:p>
            <w:pPr>
              <w:pStyle w:val="Normal"/>
              <w:tabs>
                <w:tab w:val="clear" w:pos="720"/>
                <w:tab w:val="left" w:pos="-1080" w:leader="none"/>
                <w:tab w:val="left" w:pos="-720" w:leader="none"/>
                <w:tab w:val="left" w:pos="0" w:leader="none"/>
                <w:tab w:val="left" w:pos="1440" w:leader="none"/>
                <w:tab w:val="left" w:pos="360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rPr>
            </w:pPr>
            <w:r>
              <w:rPr>
                <w:rFonts w:cs="Arial" w:ascii="Arial" w:hAnsi="Arial"/>
              </w:rPr>
              <w:t>Copy to:</w:t>
            </w:r>
          </w:p>
          <w:p>
            <w:pPr>
              <w:pStyle w:val="Normal"/>
              <w:spacing w:lineRule="atLeast" w:line="240"/>
              <w:jc w:val="both"/>
              <w:rPr>
                <w:rFonts w:ascii="Arial" w:hAnsi="Arial" w:cs="Arial"/>
                <w:color w:val="000000"/>
                <w:lang w:val="en-AU"/>
              </w:rPr>
            </w:pPr>
            <w:r>
              <w:rPr>
                <w:rFonts w:cs="Arial" w:ascii="Arial" w:hAnsi="Arial"/>
                <w:color w:val="000000"/>
                <w:lang w:val="en-AU"/>
              </w:rPr>
              <w:t>Robina Barker Bennett</w:t>
            </w:r>
          </w:p>
          <w:p>
            <w:pPr>
              <w:pStyle w:val="Normal"/>
              <w:spacing w:lineRule="atLeast" w:line="240"/>
              <w:jc w:val="both"/>
              <w:rPr>
                <w:rFonts w:ascii="Arial" w:hAnsi="Arial" w:cs="Arial"/>
                <w:color w:val="000000"/>
                <w:lang w:val="en-AU"/>
              </w:rPr>
            </w:pPr>
            <w:r>
              <w:rPr>
                <w:rFonts w:cs="Arial" w:ascii="Arial" w:hAnsi="Arial"/>
                <w:color w:val="000000"/>
                <w:lang w:val="en-AU"/>
              </w:rPr>
              <w:t>Credit Derivatives Trading London</w:t>
            </w:r>
          </w:p>
          <w:p>
            <w:pPr>
              <w:pStyle w:val="Normal"/>
              <w:spacing w:lineRule="atLeast" w:line="240"/>
              <w:jc w:val="both"/>
              <w:rPr>
                <w:rFonts w:ascii="Helvetica (PCL6)" w:hAnsi="Helvetica (PCL6)" w:cs="Helvetica (PCL6)"/>
                <w:color w:val="000000"/>
                <w:lang w:val="en-AU"/>
              </w:rPr>
            </w:pPr>
            <w:r>
              <w:rPr>
                <w:rFonts w:cs="Helvetica (PCL6)" w:ascii="Helvetica (PCL6)" w:hAnsi="Helvetica (PCL6)"/>
                <w:color w:val="000000"/>
                <w:lang w:val="en-AU"/>
              </w:rPr>
              <w:t>Tel: 020  7783 4777</w:t>
            </w:r>
          </w:p>
          <w:p>
            <w:pPr>
              <w:pStyle w:val="Normal"/>
              <w:tabs>
                <w:tab w:val="clear" w:pos="720"/>
                <w:tab w:val="left" w:pos="-1440" w:leader="none"/>
                <w:tab w:val="left" w:pos="-720" w:leader="none"/>
                <w:tab w:val="left" w:pos="0" w:leader="none"/>
              </w:tabs>
              <w:jc w:val="both"/>
              <w:rPr>
                <w:rFonts w:ascii="Arial" w:hAnsi="Arial" w:cs="Arial"/>
                <w:color w:val="000000"/>
              </w:rPr>
            </w:pPr>
            <w:r>
              <w:rPr>
                <w:rFonts w:cs="Helvetica (PCL6)" w:ascii="Helvetica (PCL6)" w:hAnsi="Helvetica (PCL6)"/>
                <w:color w:val="000000"/>
                <w:lang w:val="en-AU"/>
              </w:rPr>
              <w:t>Fax: 020 7783 8483</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Copy to:</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Jeff Kinneman</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Credit Derivatives Trading Houston</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Tel: 713 853 5398</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Fax: 713 646 4810</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080" w:leader="none"/>
                <w:tab w:val="left" w:pos="-720" w:leader="none"/>
                <w:tab w:val="left" w:pos="0" w:leader="none"/>
                <w:tab w:val="left" w:pos="1440" w:leader="none"/>
                <w:tab w:val="left" w:pos="360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rPr>
            </w:pPr>
            <w:r>
              <w:rPr>
                <w:rFonts w:cs="Arial" w:ascii="Arial" w:hAnsi="Arial"/>
              </w:rPr>
              <w:t>Copy to:</w:t>
              <w:tab/>
            </w:r>
          </w:p>
          <w:p>
            <w:pPr>
              <w:pStyle w:val="Normal"/>
              <w:spacing w:lineRule="atLeast" w:line="240"/>
              <w:jc w:val="both"/>
              <w:rPr>
                <w:rFonts w:ascii="Arial" w:hAnsi="Arial" w:cs="Arial"/>
                <w:color w:val="000000"/>
                <w:lang w:val="en-AU"/>
              </w:rPr>
            </w:pPr>
            <w:r>
              <w:rPr>
                <w:rFonts w:cs="Arial" w:ascii="Arial" w:hAnsi="Arial"/>
                <w:color w:val="000000"/>
                <w:lang w:val="en-AU"/>
              </w:rPr>
              <w:t>Documentation Manager</w:t>
            </w:r>
          </w:p>
          <w:p>
            <w:pPr>
              <w:pStyle w:val="Normal"/>
              <w:spacing w:lineRule="atLeast" w:line="240"/>
              <w:jc w:val="both"/>
              <w:rPr>
                <w:rFonts w:ascii="Arial" w:hAnsi="Arial" w:cs="Arial"/>
                <w:color w:val="000000"/>
                <w:lang w:val="en-AU"/>
              </w:rPr>
            </w:pPr>
            <w:r>
              <w:rPr>
                <w:rFonts w:cs="Arial" w:ascii="Arial" w:hAnsi="Arial"/>
                <w:color w:val="000000"/>
                <w:lang w:val="en-AU"/>
              </w:rPr>
              <w:t>Credit Derivatives Documentation</w:t>
            </w:r>
          </w:p>
          <w:p>
            <w:pPr>
              <w:pStyle w:val="Normal"/>
              <w:spacing w:lineRule="atLeast" w:line="240"/>
              <w:jc w:val="both"/>
              <w:rPr>
                <w:rFonts w:ascii="Arial" w:hAnsi="Arial" w:cs="Arial"/>
                <w:color w:val="000000"/>
                <w:lang w:val="en-AU"/>
              </w:rPr>
            </w:pPr>
            <w:r>
              <w:rPr>
                <w:rFonts w:cs="Arial" w:ascii="Arial" w:hAnsi="Arial"/>
                <w:color w:val="000000"/>
                <w:lang w:val="en-AU"/>
              </w:rPr>
              <w:t>Tel: 020 7783 4923</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lang w:val="en-AU"/>
              </w:rPr>
              <w:t>Fax: 020 7783 9407</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rPr>
            </w:pPr>
            <w:r>
              <w:rPr>
                <w:rFonts w:cs="Arial" w:ascii="Arial" w:hAnsi="Arial"/>
              </w:rPr>
              <w:t>Copy to:</w:t>
            </w:r>
          </w:p>
          <w:p>
            <w:pPr>
              <w:pStyle w:val="Normal"/>
              <w:tabs>
                <w:tab w:val="clear" w:pos="720"/>
                <w:tab w:val="left" w:pos="-1440" w:leader="none"/>
                <w:tab w:val="left" w:pos="-720" w:leader="none"/>
                <w:tab w:val="left" w:pos="0" w:leader="none"/>
              </w:tabs>
              <w:jc w:val="both"/>
              <w:rPr>
                <w:rFonts w:ascii="Arial" w:hAnsi="Arial" w:cs="Arial"/>
              </w:rPr>
            </w:pPr>
            <w:r>
              <w:rPr>
                <w:rFonts w:cs="Arial" w:ascii="Arial" w:hAnsi="Arial"/>
              </w:rPr>
              <w:t>Theresa Brogan</w:t>
            </w:r>
          </w:p>
          <w:p>
            <w:pPr>
              <w:pStyle w:val="Normal"/>
              <w:tabs>
                <w:tab w:val="clear" w:pos="720"/>
                <w:tab w:val="left" w:pos="-1440" w:leader="none"/>
                <w:tab w:val="left" w:pos="-720" w:leader="none"/>
                <w:tab w:val="left" w:pos="0" w:leader="none"/>
              </w:tabs>
              <w:jc w:val="both"/>
              <w:rPr>
                <w:rFonts w:ascii="Arial" w:hAnsi="Arial" w:cs="Arial"/>
              </w:rPr>
            </w:pPr>
            <w:r>
              <w:rPr>
                <w:rFonts w:cs="Arial" w:ascii="Arial" w:hAnsi="Arial"/>
              </w:rPr>
              <w:t>Enron North America Settlements</w:t>
            </w:r>
          </w:p>
          <w:p>
            <w:pPr>
              <w:pStyle w:val="Normal"/>
              <w:tabs>
                <w:tab w:val="clear" w:pos="720"/>
                <w:tab w:val="left" w:pos="-1440" w:leader="none"/>
                <w:tab w:val="left" w:pos="-720" w:leader="none"/>
                <w:tab w:val="left" w:pos="0" w:leader="none"/>
              </w:tabs>
              <w:jc w:val="both"/>
              <w:rPr>
                <w:rFonts w:ascii="Arial" w:hAnsi="Arial" w:cs="Arial"/>
              </w:rPr>
            </w:pPr>
            <w:r>
              <w:rPr>
                <w:rFonts w:cs="Arial" w:ascii="Arial" w:hAnsi="Arial"/>
              </w:rPr>
              <w:t>Tel: 713 853 1439</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rPr>
              <w:t>Fax: 713 646 2196</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Notices to Counterparty:</w:t>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rPr>
                <w:rFonts w:ascii="Arial" w:hAnsi="Arial" w:cs="Arial"/>
                <w:color w:val="000000"/>
              </w:rPr>
            </w:pPr>
            <w:r>
              <w:rPr>
                <w:rFonts w:cs="Arial" w:ascii="Arial" w:hAnsi="Arial"/>
                <w:color w:val="000000"/>
              </w:rPr>
              <w:t>FSA Administrative Services, LLC, as trustee for Credit Protection Trust XXVI</w:t>
            </w:r>
          </w:p>
          <w:p>
            <w:pPr>
              <w:pStyle w:val="Normal"/>
              <w:rPr>
                <w:rFonts w:ascii="Arial" w:hAnsi="Arial" w:cs="Arial"/>
                <w:color w:val="000000"/>
              </w:rPr>
            </w:pPr>
            <w:r>
              <w:rPr>
                <w:rFonts w:cs="Arial" w:ascii="Arial" w:hAnsi="Arial"/>
                <w:color w:val="000000"/>
              </w:rPr>
              <w:t>350 Park Avenue</w:t>
            </w:r>
          </w:p>
          <w:p>
            <w:pPr>
              <w:pStyle w:val="Normal"/>
              <w:rPr>
                <w:rFonts w:ascii="Arial" w:hAnsi="Arial" w:cs="Arial"/>
                <w:color w:val="000000"/>
              </w:rPr>
            </w:pPr>
            <w:r>
              <w:rPr>
                <w:rFonts w:cs="Arial" w:ascii="Arial" w:hAnsi="Arial"/>
                <w:color w:val="000000"/>
              </w:rPr>
              <w:t>New York, NY 10022</w:t>
            </w:r>
          </w:p>
          <w:p>
            <w:pPr>
              <w:pStyle w:val="Normal"/>
              <w:rPr>
                <w:rFonts w:ascii="Arial" w:hAnsi="Arial" w:cs="Arial"/>
                <w:color w:val="000000"/>
              </w:rPr>
            </w:pPr>
            <w:r>
              <w:rPr>
                <w:rFonts w:cs="Arial" w:ascii="Arial" w:hAnsi="Arial"/>
                <w:color w:val="000000"/>
              </w:rPr>
              <w:t>U.S.A.</w:t>
            </w:r>
          </w:p>
          <w:p>
            <w:pPr>
              <w:pStyle w:val="Normal"/>
              <w:rPr>
                <w:rFonts w:ascii="Arial" w:hAnsi="Arial" w:cs="Arial"/>
                <w:color w:val="000000"/>
              </w:rPr>
            </w:pPr>
            <w:r>
              <w:rPr>
                <w:rFonts w:cs="Arial" w:ascii="Arial" w:hAnsi="Arial"/>
                <w:color w:val="000000"/>
              </w:rPr>
              <w:t>Attention: General Counsel</w:t>
            </w:r>
          </w:p>
          <w:p>
            <w:pPr>
              <w:pStyle w:val="Normal"/>
              <w:rPr>
                <w:rFonts w:ascii="Arial" w:hAnsi="Arial" w:cs="Arial"/>
                <w:color w:val="000000"/>
              </w:rPr>
            </w:pPr>
            <w:r>
              <w:rPr>
                <w:rFonts w:cs="Arial" w:ascii="Arial" w:hAnsi="Arial"/>
                <w:color w:val="000000"/>
              </w:rPr>
            </w:r>
          </w:p>
          <w:p>
            <w:pPr>
              <w:pStyle w:val="Heading2"/>
              <w:ind w:hanging="0" w:start="0"/>
              <w:rPr>
                <w:rFonts w:ascii="Arial" w:hAnsi="Arial" w:cs="Arial"/>
                <w:b w:val="false"/>
                <w:sz w:val="20"/>
              </w:rPr>
            </w:pPr>
            <w:r>
              <w:rPr>
                <w:rFonts w:cs="Arial" w:ascii="Arial" w:hAnsi="Arial"/>
                <w:b w:val="false"/>
                <w:sz w:val="20"/>
              </w:rPr>
              <w:t>Facsimile: 212-339-0828</w:t>
            </w:r>
          </w:p>
          <w:p>
            <w:pPr>
              <w:pStyle w:val="Normal"/>
              <w:rPr>
                <w:rFonts w:ascii="Arial" w:hAnsi="Arial" w:cs="Arial"/>
                <w:color w:val="000000"/>
              </w:rPr>
            </w:pPr>
            <w:r>
              <w:rPr>
                <w:rFonts w:cs="Arial" w:ascii="Arial" w:hAnsi="Arial"/>
                <w:color w:val="000000"/>
              </w:rPr>
              <w:t>Telephone: 212-826-0100</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With copies to:</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Financial Security Assurance Inc.</w:t>
            </w:r>
          </w:p>
          <w:p>
            <w:pPr>
              <w:pStyle w:val="Normal"/>
              <w:rPr>
                <w:rFonts w:ascii="Arial" w:hAnsi="Arial" w:cs="Arial"/>
                <w:color w:val="000000"/>
              </w:rPr>
            </w:pPr>
            <w:r>
              <w:rPr>
                <w:rFonts w:cs="Arial" w:ascii="Arial" w:hAnsi="Arial"/>
                <w:color w:val="000000"/>
              </w:rPr>
              <w:t>350 Park Avenue</w:t>
            </w:r>
          </w:p>
          <w:p>
            <w:pPr>
              <w:pStyle w:val="Normal"/>
              <w:rPr>
                <w:rFonts w:ascii="Arial" w:hAnsi="Arial" w:cs="Arial"/>
                <w:color w:val="000000"/>
              </w:rPr>
            </w:pPr>
            <w:r>
              <w:rPr>
                <w:rFonts w:cs="Arial" w:ascii="Arial" w:hAnsi="Arial"/>
                <w:color w:val="000000"/>
              </w:rPr>
              <w:t>New York, NY 10022</w:t>
            </w:r>
          </w:p>
          <w:p>
            <w:pPr>
              <w:pStyle w:val="Normal"/>
              <w:rPr>
                <w:rFonts w:ascii="Arial" w:hAnsi="Arial" w:cs="Arial"/>
                <w:color w:val="000000"/>
              </w:rPr>
            </w:pPr>
            <w:r>
              <w:rPr>
                <w:rFonts w:cs="Arial" w:ascii="Arial" w:hAnsi="Arial"/>
                <w:color w:val="000000"/>
              </w:rPr>
              <w:t>U.S.A.</w:t>
            </w:r>
          </w:p>
          <w:p>
            <w:pPr>
              <w:pStyle w:val="Normal"/>
              <w:rPr>
                <w:rFonts w:ascii="Arial" w:hAnsi="Arial" w:cs="Arial"/>
                <w:color w:val="000000"/>
              </w:rPr>
            </w:pPr>
            <w:r>
              <w:rPr>
                <w:rFonts w:cs="Arial" w:ascii="Arial" w:hAnsi="Arial"/>
                <w:color w:val="000000"/>
              </w:rPr>
              <w:t>Attention: Insured Portfolio Management Department</w:t>
            </w:r>
          </w:p>
          <w:p>
            <w:pPr>
              <w:pStyle w:val="Normal"/>
              <w:rPr>
                <w:rFonts w:ascii="Arial" w:hAnsi="Arial" w:cs="Arial"/>
                <w:color w:val="000000"/>
              </w:rPr>
            </w:pPr>
            <w:r>
              <w:rPr>
                <w:rFonts w:cs="Arial" w:ascii="Arial" w:hAnsi="Arial"/>
                <w:color w:val="000000"/>
              </w:rPr>
              <w:t>Re: Credit Protection Trust XXVI</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Facsimile: 212-339-3518/3529</w:t>
            </w:r>
          </w:p>
          <w:p>
            <w:pPr>
              <w:pStyle w:val="Normal"/>
              <w:rPr>
                <w:rFonts w:ascii="Arial" w:hAnsi="Arial" w:cs="Arial"/>
                <w:color w:val="000000"/>
              </w:rPr>
            </w:pPr>
            <w:r>
              <w:rPr>
                <w:rFonts w:cs="Arial" w:ascii="Arial" w:hAnsi="Arial"/>
                <w:color w:val="000000"/>
              </w:rPr>
              <w:t>Telephone: 212-826-0100</w:t>
            </w:r>
          </w:p>
          <w:p>
            <w:pPr>
              <w:pStyle w:val="Normal"/>
              <w:rPr>
                <w:rFonts w:ascii="Arial" w:hAnsi="Arial" w:cs="Arial"/>
                <w:color w:val="000000"/>
              </w:rPr>
            </w:pPr>
            <w:r>
              <w:rPr>
                <w:rFonts w:cs="Arial" w:ascii="Arial" w:hAnsi="Arial"/>
                <w:color w:val="000000"/>
              </w:rPr>
            </w:r>
          </w:p>
          <w:p>
            <w:pPr>
              <w:pStyle w:val="BodyText"/>
              <w:rPr>
                <w:rFonts w:ascii="Arial" w:hAnsi="Arial" w:cs="Arial"/>
                <w:sz w:val="20"/>
              </w:rPr>
            </w:pPr>
            <w:r>
              <w:rPr>
                <w:rFonts w:cs="Arial" w:ascii="Arial" w:hAnsi="Arial"/>
                <w:sz w:val="20"/>
              </w:rPr>
              <w:t>(in each case in which notice or other communications to FSA refers to an Event of Default or Termination Event, or with respect to which failure on the part of FSA to respond shall be deemed to constitute consent or acceptance, then a copy of such notice or other communication should also be sent to the attention of each of the General Counsel and the Head-Financial Guaranty Group and shall be marked to indicate “URGENT MATERIAL ENCLOSED”).</w:t>
            </w:r>
          </w:p>
          <w:p>
            <w:pPr>
              <w:pStyle w:val="Normal"/>
              <w:tabs>
                <w:tab w:val="clear" w:pos="720"/>
                <w:tab w:val="left" w:pos="-1440" w:leader="none"/>
                <w:tab w:val="left" w:pos="-720" w:leader="none"/>
                <w:tab w:val="left" w:pos="0" w:leader="none"/>
              </w:tabs>
              <w:ind w:start="612" w:end="0"/>
              <w:jc w:val="both"/>
              <w:rPr>
                <w:rFonts w:ascii="Arial" w:hAnsi="Arial" w:cs="Arial"/>
                <w:color w:val="000000"/>
                <w:sz w:val="20"/>
              </w:rPr>
            </w:pPr>
            <w:r>
              <w:rPr>
                <w:rFonts w:cs="Arial" w:ascii="Arial" w:hAnsi="Arial"/>
                <w:color w:val="000000"/>
                <w:sz w:val="2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b/>
                <w:bCs/>
                <w:color w:val="000000"/>
              </w:rPr>
            </w:pPr>
            <w:r>
              <w:rPr>
                <w:rFonts w:cs="Arial" w:ascii="Arial" w:hAnsi="Arial"/>
                <w:b/>
                <w:bCs/>
                <w:color w:val="000000"/>
              </w:rPr>
              <w:t>Account Details:</w:t>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b/>
                <w:bCs/>
                <w:color w:val="000000"/>
              </w:rPr>
            </w:pPr>
            <w:r>
              <w:rPr>
                <w:rFonts w:cs="Arial" w:ascii="Arial" w:hAnsi="Arial"/>
                <w:b/>
                <w:bCs/>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Payments to Enron:</w:t>
            </w:r>
          </w:p>
        </w:tc>
        <w:tc>
          <w:tcPr>
            <w:tcW w:w="7152" w:type="dxa"/>
            <w:tcBorders/>
          </w:tcPr>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Citibank, NY</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ABA 021-000-089</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Account: Morgan Stanley &amp; Co.</w:t>
            </w:r>
          </w:p>
          <w:p>
            <w:pPr>
              <w:pStyle w:val="ACedilla"/>
              <w:tabs>
                <w:tab w:val="clear" w:pos="720"/>
                <w:tab w:val="left" w:pos="-1440" w:leader="none"/>
                <w:tab w:val="left" w:pos="-720" w:leader="none"/>
                <w:tab w:val="left" w:pos="0" w:leader="none"/>
              </w:tabs>
              <w:rPr>
                <w:rFonts w:ascii="Arial" w:hAnsi="Arial" w:cs="Arial"/>
                <w:sz w:val="20"/>
                <w:lang w:val="en-US"/>
              </w:rPr>
            </w:pPr>
            <w:r>
              <w:rPr>
                <w:rFonts w:cs="Arial" w:ascii="Arial" w:hAnsi="Arial"/>
                <w:sz w:val="20"/>
                <w:lang w:val="en-US"/>
              </w:rPr>
              <w:t>Acct. # 38890774</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 xml:space="preserve">Sub Account: Enron North America Corp. </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Sub Acct. # 038-C88302</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jc w:val="both"/>
              <w:rPr>
                <w:rFonts w:ascii="Arial" w:hAnsi="Arial" w:cs="Arial"/>
                <w:color w:val="000000"/>
              </w:rPr>
            </w:pPr>
            <w:r>
              <w:rPr>
                <w:rFonts w:cs="Arial" w:ascii="Arial" w:hAnsi="Arial"/>
                <w:color w:val="000000"/>
              </w:rPr>
              <w:t>Payments to Counterparty:</w:t>
            </w:r>
          </w:p>
        </w:tc>
        <w:tc>
          <w:tcPr>
            <w:tcW w:w="7152" w:type="dxa"/>
            <w:tcBorders/>
          </w:tcPr>
          <w:p>
            <w:pPr>
              <w:pStyle w:val="Normal"/>
              <w:rPr>
                <w:rFonts w:ascii="Arial" w:hAnsi="Arial" w:cs="Arial"/>
                <w:color w:val="000000"/>
              </w:rPr>
            </w:pPr>
            <w:r>
              <w:rPr>
                <w:rFonts w:cs="Arial" w:ascii="Arial" w:hAnsi="Arial"/>
                <w:color w:val="000000"/>
              </w:rPr>
              <w:t>Bank: Bank of New York, ABA #021000018;</w:t>
            </w:r>
          </w:p>
          <w:p>
            <w:pPr>
              <w:pStyle w:val="Normal"/>
              <w:rPr>
                <w:rFonts w:ascii="Arial" w:hAnsi="Arial" w:cs="Arial"/>
                <w:color w:val="000000"/>
              </w:rPr>
            </w:pPr>
            <w:r>
              <w:rPr>
                <w:rFonts w:cs="Arial" w:ascii="Arial" w:hAnsi="Arial"/>
                <w:color w:val="000000"/>
              </w:rPr>
              <w:t>Account: Financial Security Assurance Inc.</w:t>
            </w:r>
          </w:p>
          <w:p>
            <w:pPr>
              <w:pStyle w:val="Normal"/>
              <w:rPr>
                <w:rFonts w:ascii="Arial" w:hAnsi="Arial" w:cs="Arial"/>
                <w:color w:val="000000"/>
              </w:rPr>
            </w:pPr>
            <w:r>
              <w:rPr>
                <w:rFonts w:cs="Arial" w:ascii="Arial" w:hAnsi="Arial"/>
                <w:color w:val="000000"/>
              </w:rPr>
              <w:t>Account No.: 8900 297 263</w:t>
            </w:r>
          </w:p>
          <w:p>
            <w:pPr>
              <w:pStyle w:val="Normal"/>
              <w:rPr>
                <w:rFonts w:ascii="Arial" w:hAnsi="Arial" w:cs="Arial"/>
                <w:color w:val="000000"/>
              </w:rPr>
            </w:pPr>
            <w:r>
              <w:rPr>
                <w:rFonts w:cs="Arial" w:ascii="Arial" w:hAnsi="Arial"/>
                <w:color w:val="000000"/>
              </w:rPr>
              <w:t>Reference: Credit Protection Trust XXVI</w:t>
            </w:r>
          </w:p>
          <w:p>
            <w:pPr>
              <w:pStyle w:val="Normal"/>
              <w:tabs>
                <w:tab w:val="clear" w:pos="720"/>
                <w:tab w:val="left" w:pos="-1440" w:leader="none"/>
                <w:tab w:val="left" w:pos="-720" w:leader="none"/>
                <w:tab w:val="left" w:pos="0" w:leader="none"/>
              </w:tabs>
              <w:jc w:val="both"/>
              <w:rPr>
                <w:rFonts w:ascii="Arial" w:hAnsi="Arial" w:cs="Arial"/>
                <w:color w:val="000000"/>
              </w:rPr>
            </w:pPr>
            <w:r>
              <w:rPr>
                <w:rFonts w:cs="Arial" w:ascii="Arial" w:hAnsi="Arial"/>
                <w:color w:val="000000"/>
              </w:rPr>
              <w:t>Policy No.: 51033-N</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3261" w:type="dxa"/>
            <w:tcBorders/>
          </w:tcPr>
          <w:p>
            <w:pPr>
              <w:pStyle w:val="Normal"/>
              <w:tabs>
                <w:tab w:val="clear" w:pos="720"/>
                <w:tab w:val="left" w:pos="-1440" w:leader="none"/>
                <w:tab w:val="left" w:pos="-720" w:leader="none"/>
                <w:tab w:val="left" w:pos="0" w:leader="none"/>
                <w:tab w:val="left" w:pos="3600" w:leader="none"/>
              </w:tabs>
              <w:snapToGrid w:val="false"/>
              <w:jc w:val="both"/>
              <w:rPr>
                <w:rFonts w:ascii="Arial" w:hAnsi="Arial" w:cs="Arial"/>
                <w:color w:val="000000"/>
              </w:rPr>
            </w:pPr>
            <w:r>
              <w:rPr>
                <w:rFonts w:cs="Arial" w:ascii="Arial" w:hAnsi="Arial"/>
                <w:color w:val="000000"/>
              </w:rPr>
            </w:r>
          </w:p>
        </w:tc>
        <w:tc>
          <w:tcPr>
            <w:tcW w:w="7152"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10413" w:type="dxa"/>
            <w:gridSpan w:val="2"/>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bl>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tbl>
      <w:tblPr>
        <w:tblW w:w="11057" w:type="dxa"/>
        <w:jc w:val="start"/>
        <w:tblInd w:w="108" w:type="dxa"/>
        <w:tblLayout w:type="fixed"/>
        <w:tblCellMar>
          <w:top w:w="0" w:type="dxa"/>
          <w:start w:w="108" w:type="dxa"/>
          <w:bottom w:w="0" w:type="dxa"/>
          <w:end w:w="108" w:type="dxa"/>
        </w:tblCellMar>
      </w:tblPr>
      <w:tblGrid>
        <w:gridCol w:w="567"/>
        <w:gridCol w:w="10490"/>
      </w:tblGrid>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jc w:val="both"/>
              <w:rPr>
                <w:rFonts w:ascii="Arial" w:hAnsi="Arial" w:cs="Arial"/>
                <w:b/>
                <w:bCs/>
                <w:color w:val="000000"/>
              </w:rPr>
            </w:pPr>
            <w:r>
              <w:rPr>
                <w:rFonts w:cs="Arial" w:ascii="Arial" w:hAnsi="Arial"/>
                <w:b/>
                <w:bCs/>
                <w:color w:val="000000"/>
              </w:rPr>
              <w:t>7.</w:t>
            </w:r>
          </w:p>
        </w:tc>
        <w:tc>
          <w:tcPr>
            <w:tcW w:w="10490" w:type="dxa"/>
            <w:tcBorders/>
          </w:tcPr>
          <w:p>
            <w:pPr>
              <w:pStyle w:val="Normal"/>
              <w:tabs>
                <w:tab w:val="clear" w:pos="720"/>
                <w:tab w:val="left" w:pos="-1440" w:leader="none"/>
                <w:tab w:val="left" w:pos="-720" w:leader="none"/>
                <w:tab w:val="left" w:pos="0" w:leader="none"/>
              </w:tabs>
              <w:jc w:val="both"/>
              <w:rPr>
                <w:rFonts w:ascii="Arial" w:hAnsi="Arial" w:cs="Arial"/>
                <w:b/>
                <w:bCs/>
                <w:color w:val="000000"/>
              </w:rPr>
            </w:pPr>
            <w:r>
              <w:rPr>
                <w:rFonts w:cs="Arial" w:ascii="Arial" w:hAnsi="Arial"/>
                <w:b/>
                <w:bCs/>
                <w:u w:val="single"/>
              </w:rPr>
              <w:t>Other Terms</w:t>
            </w:r>
            <w:r>
              <w:rPr>
                <w:rFonts w:cs="Arial" w:ascii="Arial" w:hAnsi="Arial"/>
                <w:b/>
                <w:bCs/>
              </w:rPr>
              <w:t>:</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b/>
                <w:bCs/>
                <w:color w:val="000000"/>
              </w:rPr>
            </w:pPr>
            <w:r>
              <w:rPr>
                <w:rFonts w:cs="Arial" w:ascii="Arial" w:hAnsi="Arial"/>
                <w:b/>
                <w:bCs/>
                <w:color w:val="000000"/>
              </w:rPr>
            </w:r>
          </w:p>
        </w:tc>
        <w:tc>
          <w:tcPr>
            <w:tcW w:w="10490"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10490"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10490" w:type="dxa"/>
            <w:tcBorders/>
          </w:tcPr>
          <w:p>
            <w:pPr>
              <w:pStyle w:val="Normal"/>
              <w:keepNext w:val="true"/>
              <w:numPr>
                <w:ilvl w:val="0"/>
                <w:numId w:val="3"/>
              </w:numPr>
              <w:spacing w:lineRule="atLeast" w:line="240"/>
              <w:rPr>
                <w:rFonts w:ascii="Helvetica (PCL6)" w:hAnsi="Helvetica (PCL6)" w:cs="Helvetica (PCL6)"/>
                <w:b/>
                <w:color w:val="000000"/>
                <w:lang w:val="en-AU"/>
              </w:rPr>
            </w:pPr>
            <w:r>
              <w:rPr>
                <w:rFonts w:cs="Helvetica (PCL6)" w:ascii="Helvetica (PCL6)" w:hAnsi="Helvetica (PCL6)"/>
                <w:b/>
                <w:color w:val="000000"/>
                <w:lang w:val="en-AU"/>
              </w:rPr>
              <w:t>Representations</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b/>
                <w:color w:val="000000"/>
                <w:lang w:val="en-AU"/>
              </w:rPr>
            </w:pPr>
            <w:r>
              <w:rPr>
                <w:rFonts w:cs="Arial" w:ascii="Arial" w:hAnsi="Arial"/>
                <w:b/>
                <w:color w:val="000000"/>
                <w:lang w:val="en-AU"/>
              </w:rPr>
            </w:r>
          </w:p>
        </w:tc>
        <w:tc>
          <w:tcPr>
            <w:tcW w:w="10490" w:type="dxa"/>
            <w:tcBorders/>
          </w:tcPr>
          <w:p>
            <w:pPr>
              <w:pStyle w:val="Normal"/>
              <w:snapToGrid w:val="false"/>
              <w:spacing w:lineRule="atLeast" w:line="240"/>
              <w:rPr>
                <w:rFonts w:ascii="Arial" w:hAnsi="Arial" w:cs="Arial"/>
                <w:color w:val="000000"/>
                <w:lang w:val="en-AU"/>
              </w:rPr>
            </w:pPr>
            <w:r>
              <w:rPr>
                <w:rFonts w:cs="Arial" w:ascii="Arial" w:hAnsi="Arial"/>
                <w:color w:val="000000"/>
                <w:lang w:val="en-AU"/>
              </w:rPr>
            </w:r>
          </w:p>
          <w:p>
            <w:pPr>
              <w:pStyle w:val="Normal"/>
              <w:spacing w:lineRule="atLeast" w:line="240"/>
              <w:rPr>
                <w:rFonts w:ascii="Arial" w:hAnsi="Arial" w:cs="Arial"/>
                <w:color w:val="000000"/>
                <w:lang w:val="en-AU"/>
              </w:rPr>
            </w:pPr>
            <w:r>
              <w:rPr>
                <w:rFonts w:cs="Arial" w:ascii="Arial" w:hAnsi="Arial"/>
                <w:color w:val="000000"/>
                <w:lang w:val="en-AU"/>
              </w:rPr>
              <w:t>Each party represents to the other party that:</w:t>
            </w:r>
          </w:p>
          <w:p>
            <w:pPr>
              <w:pStyle w:val="Normal"/>
              <w:spacing w:lineRule="atLeast" w:line="240"/>
              <w:rPr>
                <w:rFonts w:ascii="Arial" w:hAnsi="Arial" w:cs="Arial"/>
                <w:color w:val="000000"/>
                <w:lang w:val="en-AU"/>
              </w:rPr>
            </w:pPr>
            <w:r>
              <w:rPr>
                <w:rFonts w:cs="Arial" w:ascii="Arial" w:hAnsi="Arial"/>
                <w:color w:val="000000"/>
                <w:lang w:val="en-AU"/>
              </w:rPr>
            </w:r>
          </w:p>
          <w:p>
            <w:pPr>
              <w:pStyle w:val="Normal"/>
              <w:spacing w:lineRule="atLeast" w:line="240"/>
              <w:jc w:val="both"/>
              <w:rPr/>
            </w:pPr>
            <w:r>
              <w:rPr>
                <w:rFonts w:cs="Arial" w:ascii="Arial" w:hAnsi="Arial"/>
                <w:b/>
                <w:color w:val="000000"/>
                <w:lang w:val="en-AU"/>
              </w:rPr>
              <w:t>(i)</w:t>
              <w:tab/>
              <w:t>Standardisation and Creditworthiness.</w:t>
            </w:r>
            <w:r>
              <w:rPr>
                <w:rFonts w:cs="Arial" w:ascii="Arial" w:hAnsi="Arial"/>
                <w:color w:val="000000"/>
                <w:lang w:val="en-AU"/>
              </w:rPr>
              <w:t xml:space="preserve">  The economic terms of this Transaction and any Credit Support Document to which it is a party have been individually tailored and negotiated by it, and the creditworthiness of the other party was a material consideration in its entering into or determining the terms of this Transaction and such Credit Support Document; and </w:t>
            </w:r>
          </w:p>
          <w:p>
            <w:pPr>
              <w:pStyle w:val="Normal"/>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b/>
                <w:color w:val="000000"/>
                <w:lang w:val="en-AU"/>
              </w:rPr>
            </w:pPr>
            <w:r>
              <w:rPr>
                <w:rFonts w:cs="Arial" w:ascii="Arial" w:hAnsi="Arial"/>
                <w:b/>
                <w:color w:val="000000"/>
                <w:lang w:val="en-AU"/>
              </w:rPr>
            </w:r>
          </w:p>
          <w:p>
            <w:pPr>
              <w:pStyle w:val="Normal"/>
              <w:numPr>
                <w:ilvl w:val="0"/>
                <w:numId w:val="4"/>
              </w:numPr>
              <w:tabs>
                <w:tab w:val="clear" w:pos="720"/>
                <w:tab w:val="left" w:pos="-1080" w:leader="none"/>
                <w:tab w:val="left" w:pos="-720" w:leader="none"/>
                <w:tab w:val="left" w:pos="36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ind w:hanging="0" w:start="0" w:end="0"/>
              <w:jc w:val="both"/>
              <w:rPr>
                <w:rFonts w:ascii="Arial" w:hAnsi="Arial" w:cs="Arial"/>
              </w:rPr>
            </w:pPr>
            <w:r>
              <w:rPr>
                <w:rFonts w:cs="Arial" w:ascii="Arial" w:hAnsi="Arial"/>
                <w:b/>
                <w:color w:val="000000"/>
                <w:lang w:val="en-AU"/>
              </w:rPr>
              <w:t>No Reliance.</w:t>
            </w:r>
            <w:r>
              <w:rPr>
                <w:rFonts w:cs="Arial" w:ascii="Arial" w:hAnsi="Arial"/>
                <w:color w:val="000000"/>
                <w:lang w:val="en-AU"/>
              </w:rPr>
              <w:t xml:space="preserve">  In connection with this Transaction and any Credit Support Document to which it is a party:  (1) it is acting as principal; (2) the other party is not acting as a fiduciary or financial or investment advisor for it; (3) it is not relying upon any representations (whether written or oral) of the other party other than the representations expressly set forth in this Confirmation and in such Credit Support Document; (4)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Transaction and such Credit Support Document; (5) it has consulted with its own legal, regulatory, tax, business, investment, financial and accounting advisors to the extent it has deemed necessary, and it has made its own investment, trading, hedging, and other decisions based upon its own judgement and upon any advice from such advisors as it has deemed necessary, and not upon any view expressed by the other party; (6) its decisions have been the result of arm’s length negotiations between the parties; and (7) it is entering into this Transaction and such Credit Support Document with a full understanding of all of the risks hereof and thereof (economic and otherwise), and is capable of assuming and willing to assume those risks.</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10490" w:type="dxa"/>
            <w:tcBorders/>
          </w:tcPr>
          <w:p>
            <w:pPr>
              <w:pStyle w:val="Normal"/>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10490" w:type="dxa"/>
            <w:tcBorders/>
          </w:tcPr>
          <w:p>
            <w:pPr>
              <w:pStyle w:val="Normal"/>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b/>
              </w:rPr>
            </w:pPr>
            <w:r>
              <w:rPr>
                <w:rFonts w:cs="Arial" w:ascii="Arial" w:hAnsi="Arial"/>
                <w:b/>
              </w:rPr>
              <w:t>(b)    Dispute Resolution</w:t>
            </w:r>
          </w:p>
          <w:p>
            <w:pPr>
              <w:pStyle w:val="Normal"/>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b/>
              </w:rPr>
            </w:pPr>
            <w:r>
              <w:rPr>
                <w:rFonts w:cs="Arial" w:ascii="Arial" w:hAnsi="Arial"/>
                <w:b/>
              </w:rPr>
            </w:r>
          </w:p>
          <w:p>
            <w:pPr>
              <w:pStyle w:val="Normal"/>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pPr>
            <w:r>
              <w:rPr>
                <w:rFonts w:cs="Arial" w:ascii="Arial" w:hAnsi="Arial"/>
              </w:rPr>
              <w:t xml:space="preserve">The provisions of Section 10.2 shall apply to the Transaction; </w:t>
            </w:r>
            <w:r>
              <w:rPr>
                <w:rFonts w:cs="Arial" w:ascii="Arial" w:hAnsi="Arial"/>
                <w:b/>
                <w:i/>
              </w:rPr>
              <w:t>provided that</w:t>
            </w:r>
            <w:r>
              <w:rPr>
                <w:rFonts w:cs="Arial" w:ascii="Arial" w:hAnsi="Arial"/>
              </w:rPr>
              <w:t xml:space="preserve"> notwithstanding anything to the contrary contained herein or the Credit Derivatives Definitions, (a) the Calculation Agent shall select the dealer thereunder  after consultation with Counterparty provided that up to and including the date of payment of the first Cash Protection Amount under the Transaction if a Credit Protection Seller with a lower Credit Protection Trigger Level than that of Counterparty requests a different dealer, such dealer shall constitute the dealer for the purposes of Section 10.2 and the Transaction and (b) the Calculation Agent may in the event that a Credit Protection Seller disputes a determination it has made refer such  determination to a disinterested third party in accordance with the terms of Section 10.2, regardless of whether either party to the Transaction disagrees with the Calculation Agent’s determination.</w:t>
            </w:r>
          </w:p>
          <w:p>
            <w:pPr>
              <w:pStyle w:val="Normal"/>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rPr>
            </w:pPr>
            <w:r>
              <w:rPr>
                <w:rFonts w:cs="Arial" w:ascii="Arial" w:hAnsi="Arial"/>
              </w:rPr>
            </w:r>
          </w:p>
          <w:p>
            <w:pPr>
              <w:pStyle w:val="Normal"/>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rPr>
            </w:pPr>
            <w:r>
              <w:rPr>
                <w:rFonts w:cs="Arial" w:ascii="Arial" w:hAnsi="Arial"/>
              </w:rPr>
              <w:t xml:space="preserve">In the event that the Calculation Agent refers a determination it has made in accordance with (b) above the determination made by the disinterested third party shall be binding absent manifest error, and the costs of such disinterested third party shall be borne by the Calculation Agent. </w:t>
            </w:r>
          </w:p>
          <w:p>
            <w:pPr>
              <w:pStyle w:val="Normal"/>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rPr>
            </w:pPr>
            <w:r>
              <w:rPr>
                <w:rFonts w:cs="Arial" w:ascii="Arial" w:hAnsi="Arial"/>
              </w:rPr>
            </w:r>
          </w:p>
          <w:p>
            <w:pPr>
              <w:pStyle w:val="Normal"/>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pPr>
            <w:r>
              <w:rPr>
                <w:rFonts w:cs="Arial" w:ascii="Arial" w:hAnsi="Arial"/>
              </w:rPr>
              <w:t>Notwithstanding Section 10.2 of the Credit Derivatives Definitions a Disputing Party may exercise its rights thereunder no later than the second (2</w:t>
            </w:r>
            <w:r>
              <w:rPr>
                <w:rFonts w:cs="Arial" w:ascii="Arial" w:hAnsi="Arial"/>
                <w:vertAlign w:val="superscript"/>
              </w:rPr>
              <w:t>nd</w:t>
            </w:r>
            <w:r>
              <w:rPr>
                <w:rFonts w:cs="Arial" w:ascii="Arial" w:hAnsi="Arial"/>
              </w:rPr>
              <w:t>) Business Day following the Business Day on which the Calculation Agent notifies the Disputing Party of any determination.</w:t>
            </w:r>
          </w:p>
          <w:p>
            <w:pPr>
              <w:pStyle w:val="Normal"/>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rPr>
            </w:pPr>
            <w:r>
              <w:rPr>
                <w:rFonts w:cs="Arial" w:ascii="Arial" w:hAnsi="Arial"/>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10490" w:type="dxa"/>
            <w:tcBorders/>
          </w:tcPr>
          <w:p>
            <w:pPr>
              <w:pStyle w:val="Normal"/>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10490" w:type="dxa"/>
            <w:tcBorders/>
          </w:tcPr>
          <w:p>
            <w:pPr>
              <w:pStyle w:val="Normal"/>
              <w:numPr>
                <w:ilvl w:val="0"/>
                <w:numId w:val="8"/>
              </w:numPr>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b/>
              </w:rPr>
            </w:pPr>
            <w:r>
              <w:rPr>
                <w:rFonts w:cs="Arial" w:ascii="Arial" w:hAnsi="Arial"/>
                <w:b/>
              </w:rPr>
              <w:t>Failure to Pay a Fixed Amount</w:t>
            </w:r>
          </w:p>
          <w:p>
            <w:pPr>
              <w:pStyle w:val="Normal"/>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b/>
              </w:rPr>
            </w:pPr>
            <w:r>
              <w:rPr>
                <w:rFonts w:cs="Arial" w:ascii="Arial" w:hAnsi="Arial"/>
                <w:b/>
              </w:rPr>
            </w:r>
          </w:p>
          <w:p>
            <w:pPr>
              <w:pStyle w:val="Normal"/>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bCs/>
              </w:rPr>
            </w:pPr>
            <w:r>
              <w:rPr>
                <w:rFonts w:cs="Arial" w:ascii="Arial" w:hAnsi="Arial"/>
                <w:bCs/>
              </w:rPr>
              <w:t>Notwithstanding anything to the contrary contained herein or in the Agreement, in the event Counterparty designates an Early Termination Date under the Agreement as result of a failure by Enron to pay a Fixed Amount under the Transaction on a scheduled payment date, if Enron pays, or procures payment, to Counterparty the Accrued Fixed Payment Amount and the Makewhole Amount on or before the Early Termination Date (i) the relevant Event of Default or Termination Event shall be deemed not to have occurred; (ii) the Early Termination Date will not occur on the date so designated notwithstanding Section 6(c)(i) of the Agreement; and (ii) the parties scheduled payment obligations under the Transaction shall continue notwithstanding Section 6(c)(ii) of the Agreement.</w:t>
            </w:r>
          </w:p>
          <w:p>
            <w:pPr>
              <w:pStyle w:val="Normal"/>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bCs/>
              </w:rPr>
            </w:pPr>
            <w:r>
              <w:rPr>
                <w:rFonts w:cs="Arial" w:ascii="Arial" w:hAnsi="Arial"/>
                <w:bCs/>
              </w:rPr>
            </w:r>
          </w:p>
          <w:p>
            <w:pPr>
              <w:pStyle w:val="Normal"/>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b/>
              </w:rPr>
            </w:pPr>
            <w:r>
              <w:rPr>
                <w:rFonts w:cs="Arial" w:ascii="Arial" w:hAnsi="Arial"/>
                <w:bCs/>
              </w:rPr>
              <w:t>Notwithstanding anything to the contrary contained herein or in the Agreement, Counterparty shall give at least 5 days prior written notice to Enron of the designation of an Early Termination Date under the Agreement as result of a failure by Enron to pay a Fixed Amount under the Transaction on a scheduled payment date.</w:t>
            </w:r>
          </w:p>
          <w:p>
            <w:pPr>
              <w:pStyle w:val="Normal"/>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b/>
              </w:rPr>
            </w:pPr>
            <w:r>
              <w:rPr>
                <w:rFonts w:cs="Arial" w:ascii="Arial" w:hAnsi="Arial"/>
                <w:b/>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10490" w:type="dxa"/>
            <w:tcBorders/>
          </w:tcPr>
          <w:p>
            <w:pPr>
              <w:pStyle w:val="Normal"/>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10490" w:type="dxa"/>
            <w:tcBorders/>
          </w:tcPr>
          <w:p>
            <w:pPr>
              <w:pStyle w:val="Normal"/>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rPr>
            </w:pPr>
            <w:r>
              <w:rPr>
                <w:rFonts w:cs="Arial" w:ascii="Arial" w:hAnsi="Arial"/>
              </w:rPr>
              <w:t>Please confirm that the foregoing correctly sets forth the terms of our agreement by executing this Confirmation and returning it to us by facsimile transmission on +442077839238 attention:  Denis O’Connell, telephone: +442077834828</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10490" w:type="dxa"/>
            <w:tcBorders/>
          </w:tcPr>
          <w:p>
            <w:pPr>
              <w:pStyle w:val="Normal"/>
              <w:tabs>
                <w:tab w:val="left" w:pos="-1080" w:leader="none"/>
                <w:tab w:val="left" w:pos="-720" w:leader="none"/>
                <w:tab w:val="left" w:pos="0" w:leader="none"/>
                <w:tab w:val="left" w:pos="720" w:leader="none"/>
                <w:tab w:val="left" w:pos="1440" w:leader="none"/>
                <w:tab w:val="left" w:pos="4500" w:leader="none"/>
                <w:tab w:val="left" w:pos="477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napToGrid w:val="false"/>
              <w:ind w:start="4770" w:end="0"/>
              <w:jc w:val="both"/>
              <w:rPr>
                <w:rFonts w:ascii="Arial" w:hAnsi="Arial" w:cs="Arial"/>
                <w:color w:val="000000"/>
              </w:rPr>
            </w:pPr>
            <w:r>
              <w:rPr>
                <w:rFonts w:cs="Arial" w:ascii="Arial" w:hAnsi="Arial"/>
                <w:color w:val="000000"/>
              </w:rPr>
            </w:r>
          </w:p>
          <w:p>
            <w:pPr>
              <w:pStyle w:val="Normal"/>
              <w:tabs>
                <w:tab w:val="left" w:pos="-1080" w:leader="none"/>
                <w:tab w:val="left" w:pos="-720" w:leader="none"/>
                <w:tab w:val="left" w:pos="0" w:leader="none"/>
                <w:tab w:val="left" w:pos="720" w:leader="none"/>
                <w:tab w:val="left" w:pos="1440" w:leader="none"/>
                <w:tab w:val="left" w:pos="4500" w:leader="none"/>
                <w:tab w:val="left" w:pos="477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ind w:start="4770" w:end="0"/>
              <w:jc w:val="both"/>
              <w:rPr>
                <w:rFonts w:ascii="Arial" w:hAnsi="Arial" w:cs="Arial"/>
              </w:rPr>
            </w:pPr>
            <w:r>
              <w:rPr>
                <w:rFonts w:cs="Arial" w:ascii="Arial" w:hAnsi="Arial"/>
              </w:rPr>
              <w:t>Yours sincerely,</w:t>
            </w:r>
          </w:p>
          <w:p>
            <w:pPr>
              <w:pStyle w:val="Normal"/>
              <w:tabs>
                <w:tab w:val="left" w:pos="-1080" w:leader="none"/>
                <w:tab w:val="left" w:pos="-720" w:leader="none"/>
                <w:tab w:val="left" w:pos="0" w:leader="none"/>
                <w:tab w:val="left" w:pos="720" w:leader="none"/>
                <w:tab w:val="left" w:pos="1440" w:leader="none"/>
                <w:tab w:val="left" w:pos="4500" w:leader="none"/>
                <w:tab w:val="left" w:pos="477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rPr>
            </w:pPr>
            <w:r>
              <w:rPr>
                <w:rFonts w:cs="Arial" w:ascii="Arial" w:hAnsi="Arial"/>
              </w:rPr>
            </w:r>
          </w:p>
          <w:p>
            <w:pPr>
              <w:pStyle w:val="Normal"/>
              <w:tabs>
                <w:tab w:val="left" w:pos="-1080" w:leader="none"/>
                <w:tab w:val="left" w:pos="-720" w:leader="none"/>
                <w:tab w:val="left" w:pos="0" w:leader="none"/>
                <w:tab w:val="left" w:pos="720" w:leader="none"/>
                <w:tab w:val="left" w:pos="1440" w:leader="none"/>
                <w:tab w:val="left" w:pos="4500" w:leader="none"/>
                <w:tab w:val="left" w:pos="477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rPr>
            </w:pPr>
            <w:r>
              <w:rPr>
                <w:rFonts w:cs="Arial" w:ascii="Arial" w:hAnsi="Arial"/>
              </w:rPr>
              <w:tab/>
              <w:tab/>
              <w:tab/>
              <w:tab/>
              <w:t>ENRON NORTH AMERICA CORP.</w:t>
            </w:r>
          </w:p>
          <w:p>
            <w:pPr>
              <w:pStyle w:val="Normal"/>
              <w:tabs>
                <w:tab w:val="left" w:pos="-1080" w:leader="none"/>
                <w:tab w:val="left" w:pos="-720" w:leader="none"/>
                <w:tab w:val="left" w:pos="0" w:leader="none"/>
                <w:tab w:val="left" w:pos="720" w:leader="none"/>
                <w:tab w:val="left" w:pos="1440" w:leader="none"/>
                <w:tab w:val="left" w:pos="4500" w:leader="none"/>
                <w:tab w:val="left" w:pos="477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rPr>
            </w:pPr>
            <w:r>
              <w:rPr>
                <w:rFonts w:cs="Arial" w:ascii="Arial" w:hAnsi="Arial"/>
              </w:rPr>
            </w:r>
          </w:p>
          <w:p>
            <w:pPr>
              <w:pStyle w:val="Normal"/>
              <w:tabs>
                <w:tab w:val="left" w:pos="-1080" w:leader="none"/>
                <w:tab w:val="left" w:pos="-720" w:leader="none"/>
                <w:tab w:val="left" w:pos="0" w:leader="none"/>
                <w:tab w:val="left" w:pos="720" w:leader="none"/>
                <w:tab w:val="left" w:pos="1440" w:leader="none"/>
                <w:tab w:val="left" w:pos="4500" w:leader="none"/>
                <w:tab w:val="left" w:pos="477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rPr>
            </w:pPr>
            <w:r>
              <w:rPr>
                <w:rFonts w:cs="Arial" w:ascii="Arial" w:hAnsi="Arial"/>
              </w:rPr>
            </w:r>
          </w:p>
          <w:p>
            <w:pPr>
              <w:pStyle w:val="Normal"/>
              <w:tabs>
                <w:tab w:val="left" w:pos="-1080" w:leader="none"/>
                <w:tab w:val="left" w:pos="-720" w:leader="none"/>
                <w:tab w:val="left" w:pos="0" w:leader="none"/>
                <w:tab w:val="left" w:pos="720" w:leader="none"/>
                <w:tab w:val="left" w:pos="1440" w:leader="none"/>
                <w:tab w:val="left" w:pos="4500" w:leader="none"/>
                <w:tab w:val="left" w:pos="477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rPr>
            </w:pPr>
            <w:r>
              <w:rPr>
                <w:rFonts w:cs="Arial" w:ascii="Arial" w:hAnsi="Arial"/>
              </w:rPr>
              <w:tab/>
              <w:tab/>
              <w:tab/>
              <w:tab/>
              <w:t>By:_____________________________</w:t>
            </w:r>
            <w:r>
              <w:rPr>
                <w:rFonts w:cs="Arial" w:ascii="Arial" w:hAnsi="Arial"/>
                <w:u w:val="single"/>
              </w:rPr>
              <w:t xml:space="preserve">                                                        </w:t>
            </w:r>
          </w:p>
          <w:p>
            <w:pPr>
              <w:pStyle w:val="Normal"/>
              <w:tabs>
                <w:tab w:val="left" w:pos="-1080" w:leader="none"/>
                <w:tab w:val="left" w:pos="-720" w:leader="none"/>
                <w:tab w:val="left" w:pos="0" w:leader="none"/>
                <w:tab w:val="left" w:pos="720" w:leader="none"/>
                <w:tab w:val="left" w:pos="1440" w:leader="none"/>
                <w:tab w:val="left" w:pos="4500" w:leader="none"/>
                <w:tab w:val="left" w:pos="477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rPr>
            </w:pPr>
            <w:r>
              <w:rPr>
                <w:rFonts w:cs="Arial" w:ascii="Arial" w:hAnsi="Arial"/>
              </w:rPr>
              <w:tab/>
              <w:tab/>
              <w:tab/>
              <w:tab/>
              <w:t xml:space="preserve">      Authorized Signatory</w:t>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10490" w:type="dxa"/>
            <w:tcBorders/>
          </w:tcPr>
          <w:p>
            <w:pPr>
              <w:pStyle w:val="Normal"/>
              <w:tabs>
                <w:tab w:val="clear" w:pos="720"/>
                <w:tab w:val="left" w:pos="-1440" w:leader="none"/>
                <w:tab w:val="left" w:pos="-720" w:leader="none"/>
                <w:tab w:val="left" w:pos="0" w:leader="none"/>
              </w:tabs>
              <w:snapToGrid w:val="false"/>
              <w:jc w:val="both"/>
              <w:rPr>
                <w:rFonts w:ascii="Arial" w:hAnsi="Arial" w:cs="Arial"/>
                <w:color w:val="000000"/>
              </w:rPr>
            </w:pPr>
            <w:r>
              <w:rPr>
                <w:rFonts w:cs="Arial" w:ascii="Arial" w:hAnsi="Arial"/>
                <w:color w:val="000000"/>
              </w:rPr>
            </w:r>
          </w:p>
        </w:tc>
      </w:tr>
      <w:tr>
        <w:trPr/>
        <w:tc>
          <w:tcPr>
            <w:tcW w:w="567" w:type="dxa"/>
            <w:tcBorders/>
          </w:tcPr>
          <w:p>
            <w:pPr>
              <w:pStyle w:val="Normal"/>
              <w:tabs>
                <w:tab w:val="left" w:pos="-1440" w:leader="none"/>
                <w:tab w:val="left" w:pos="-720" w:leader="none"/>
                <w:tab w:val="left" w:pos="0" w:leader="none"/>
                <w:tab w:val="left" w:pos="720" w:leader="none"/>
                <w:tab w:val="left" w:pos="1440" w:leader="none"/>
                <w:tab w:val="left" w:pos="2160" w:leader="none"/>
                <w:tab w:val="left" w:pos="2610" w:leader="none"/>
                <w:tab w:val="left" w:pos="3600" w:leader="none"/>
              </w:tabs>
              <w:snapToGrid w:val="false"/>
              <w:jc w:val="both"/>
              <w:rPr>
                <w:rFonts w:ascii="Arial" w:hAnsi="Arial" w:cs="Arial"/>
                <w:color w:val="000000"/>
              </w:rPr>
            </w:pPr>
            <w:r>
              <w:rPr>
                <w:rFonts w:cs="Arial" w:ascii="Arial" w:hAnsi="Arial"/>
                <w:color w:val="000000"/>
              </w:rPr>
            </w:r>
          </w:p>
        </w:tc>
        <w:tc>
          <w:tcPr>
            <w:tcW w:w="10490" w:type="dxa"/>
            <w:tcBorders/>
          </w:tcPr>
          <w:p>
            <w:pPr>
              <w:pStyle w:val="Normal"/>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rPr>
            </w:pPr>
            <w:r>
              <w:rPr>
                <w:rFonts w:cs="Arial" w:ascii="Arial" w:hAnsi="Arial"/>
              </w:rPr>
              <w:t>Accepted and confirmed as</w:t>
            </w:r>
          </w:p>
          <w:p>
            <w:pPr>
              <w:pStyle w:val="Normal"/>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rPr>
            </w:pPr>
            <w:r>
              <w:rPr>
                <w:rFonts w:cs="Arial" w:ascii="Arial" w:hAnsi="Arial"/>
              </w:rPr>
              <w:t>Of the Trade Date written above:</w:t>
            </w:r>
          </w:p>
          <w:p>
            <w:pPr>
              <w:pStyle w:val="Normal"/>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rPr>
            </w:pPr>
            <w:r>
              <w:rPr>
                <w:rFonts w:cs="Arial" w:ascii="Arial" w:hAnsi="Arial"/>
              </w:rPr>
            </w:r>
          </w:p>
          <w:p>
            <w:pPr>
              <w:pStyle w:val="Normal"/>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rPr>
            </w:pPr>
            <w:r>
              <w:rPr>
                <w:rFonts w:cs="Arial" w:ascii="Arial" w:hAnsi="Arial"/>
              </w:rPr>
              <w:t>For and on behalf of CREDIT PROTECTION TRUST XXVI</w:t>
            </w:r>
          </w:p>
          <w:p>
            <w:pPr>
              <w:pStyle w:val="Normal"/>
              <w:tabs>
                <w:tab w:val="left" w:pos="-1080" w:leader="none"/>
                <w:tab w:val="left" w:pos="-720" w:leader="none"/>
                <w:tab w:val="left" w:pos="0" w:leader="none"/>
                <w:tab w:val="left" w:pos="720" w:leader="none"/>
                <w:tab w:val="left" w:pos="1440" w:leader="none"/>
                <w:tab w:val="left" w:pos="45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jc w:val="both"/>
              <w:rPr>
                <w:rFonts w:ascii="Arial" w:hAnsi="Arial" w:cs="Arial"/>
              </w:rPr>
            </w:pPr>
            <w:r>
              <w:rPr>
                <w:rFonts w:cs="Arial" w:ascii="Arial" w:hAnsi="Arial"/>
              </w:rPr>
            </w:r>
          </w:p>
          <w:p>
            <w:pPr>
              <w:pStyle w:val="Normal"/>
              <w:tabs>
                <w:tab w:val="clear" w:pos="720"/>
                <w:tab w:val="left" w:pos="-1440" w:leader="none"/>
                <w:tab w:val="left" w:pos="-720" w:leader="none"/>
                <w:tab w:val="left" w:pos="0" w:leader="none"/>
              </w:tabs>
              <w:rPr>
                <w:rFonts w:ascii="Arial" w:hAnsi="Arial" w:cs="Arial"/>
              </w:rPr>
            </w:pPr>
            <w:r>
              <w:rPr>
                <w:rFonts w:cs="Arial" w:ascii="Arial" w:hAnsi="Arial"/>
              </w:rPr>
              <w:t xml:space="preserve">By: FSA Administrative Services LLC, solely as Trustee and not in its individual capacity  </w:t>
            </w:r>
          </w:p>
          <w:p>
            <w:pPr>
              <w:pStyle w:val="Normal"/>
              <w:tabs>
                <w:tab w:val="clear" w:pos="720"/>
                <w:tab w:val="left" w:pos="-1440" w:leader="none"/>
                <w:tab w:val="left" w:pos="-720" w:leader="none"/>
                <w:tab w:val="left" w:pos="0" w:leader="none"/>
              </w:tabs>
              <w:rPr>
                <w:rFonts w:ascii="Arial" w:hAnsi="Arial" w:cs="Arial"/>
              </w:rPr>
            </w:pPr>
            <w:r>
              <w:rPr>
                <w:rFonts w:cs="Arial" w:ascii="Arial" w:hAnsi="Arial"/>
              </w:rPr>
            </w:r>
          </w:p>
          <w:p>
            <w:pPr>
              <w:pStyle w:val="Normal"/>
              <w:tabs>
                <w:tab w:val="clear" w:pos="720"/>
                <w:tab w:val="left" w:pos="-1440" w:leader="none"/>
                <w:tab w:val="left" w:pos="-720" w:leader="none"/>
                <w:tab w:val="left" w:pos="0" w:leader="none"/>
              </w:tabs>
              <w:rPr>
                <w:rFonts w:ascii="Arial" w:hAnsi="Arial" w:cs="Arial"/>
              </w:rPr>
            </w:pPr>
            <w:r>
              <w:rPr>
                <w:rFonts w:cs="Arial" w:ascii="Arial" w:hAnsi="Arial"/>
              </w:rPr>
              <w:t xml:space="preserve">By: FSA Portfolio Management, Inc. Member </w:t>
            </w:r>
          </w:p>
          <w:p>
            <w:pPr>
              <w:pStyle w:val="Normal"/>
              <w:tabs>
                <w:tab w:val="clear" w:pos="720"/>
                <w:tab w:val="left" w:pos="-1440" w:leader="none"/>
                <w:tab w:val="left" w:pos="-720" w:leader="none"/>
                <w:tab w:val="left" w:pos="0" w:leader="none"/>
              </w:tabs>
              <w:rPr>
                <w:rFonts w:ascii="Arial" w:hAnsi="Arial" w:cs="Arial"/>
              </w:rPr>
            </w:pPr>
            <w:r>
              <w:rPr>
                <w:rFonts w:cs="Arial" w:ascii="Arial" w:hAnsi="Arial"/>
              </w:rPr>
            </w:r>
          </w:p>
          <w:p>
            <w:pPr>
              <w:pStyle w:val="Normal"/>
              <w:tabs>
                <w:tab w:val="left" w:pos="-1080" w:leader="none"/>
                <w:tab w:val="left" w:pos="-720" w:leader="none"/>
                <w:tab w:val="left" w:pos="0" w:leader="none"/>
                <w:tab w:val="left" w:pos="720" w:leader="none"/>
                <w:tab w:val="left" w:pos="1440" w:leader="none"/>
                <w:tab w:val="left" w:pos="4500" w:leader="none"/>
                <w:tab w:val="left" w:pos="477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rFonts w:ascii="Arial" w:hAnsi="Arial" w:cs="Arial"/>
              </w:rPr>
            </w:pPr>
            <w:r>
              <w:rPr>
                <w:rFonts w:cs="Arial" w:ascii="Arial" w:hAnsi="Arial"/>
              </w:rPr>
            </w:r>
          </w:p>
          <w:p>
            <w:pPr>
              <w:pStyle w:val="Normal"/>
              <w:tabs>
                <w:tab w:val="left" w:pos="-1080" w:leader="none"/>
                <w:tab w:val="left" w:pos="-720" w:leader="none"/>
                <w:tab w:val="left" w:pos="0" w:leader="none"/>
                <w:tab w:val="left" w:pos="720" w:leader="none"/>
                <w:tab w:val="left" w:pos="1440" w:leader="none"/>
                <w:tab w:val="left" w:pos="4500" w:leader="none"/>
                <w:tab w:val="left" w:pos="477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rFonts w:ascii="Arial" w:hAnsi="Arial" w:cs="Arial"/>
              </w:rPr>
            </w:pPr>
            <w:r>
              <w:rPr>
                <w:rFonts w:cs="Arial" w:ascii="Arial" w:hAnsi="Arial"/>
              </w:rPr>
              <w:t>By:_____________________________</w:t>
            </w:r>
            <w:r>
              <w:rPr>
                <w:rFonts w:cs="Arial" w:ascii="Arial" w:hAnsi="Arial"/>
                <w:u w:val="single"/>
              </w:rPr>
              <w:t xml:space="preserve">                                                        </w:t>
            </w:r>
          </w:p>
          <w:p>
            <w:pPr>
              <w:pStyle w:val="Normal"/>
              <w:tabs>
                <w:tab w:val="clear" w:pos="720"/>
                <w:tab w:val="left" w:pos="-1440" w:leader="none"/>
                <w:tab w:val="left" w:pos="-720" w:leader="none"/>
                <w:tab w:val="left" w:pos="0" w:leader="none"/>
              </w:tabs>
              <w:rPr>
                <w:rFonts w:ascii="Arial" w:hAnsi="Arial" w:cs="Arial"/>
              </w:rPr>
            </w:pPr>
            <w:r>
              <w:rPr>
                <w:rFonts w:cs="Arial" w:ascii="Arial" w:hAnsi="Arial"/>
              </w:rPr>
              <w:t>Authorized Signatory</w:t>
            </w:r>
          </w:p>
          <w:p>
            <w:pPr>
              <w:pStyle w:val="Normal"/>
              <w:tabs>
                <w:tab w:val="clear" w:pos="720"/>
                <w:tab w:val="left" w:pos="-1440" w:leader="none"/>
                <w:tab w:val="left" w:pos="-720" w:leader="none"/>
                <w:tab w:val="left" w:pos="0" w:leader="none"/>
              </w:tabs>
              <w:jc w:val="center"/>
              <w:rPr>
                <w:rFonts w:ascii="Arial" w:hAnsi="Arial" w:cs="Arial"/>
                <w:color w:val="000000"/>
              </w:rPr>
            </w:pPr>
            <w:r>
              <w:rPr>
                <w:rFonts w:cs="Arial" w:ascii="Arial" w:hAnsi="Arial"/>
              </w:rPr>
              <w:t>___________________________</w:t>
            </w:r>
          </w:p>
        </w:tc>
      </w:tr>
    </w:tbl>
    <w:p>
      <w:pPr>
        <w:pStyle w:val="Normal"/>
        <w:jc w:val="both"/>
        <w:rPr>
          <w:rFonts w:ascii="Arial" w:hAnsi="Arial" w:cs="Arial"/>
        </w:rPr>
      </w:pPr>
      <w:r>
        <w:rPr>
          <w:rFonts w:cs="Arial" w:ascii="Arial" w:hAnsi="Arial"/>
        </w:rPr>
      </w:r>
      <w:r>
        <w:br w:type="page"/>
      </w:r>
    </w:p>
    <w:p>
      <w:pPr>
        <w:pStyle w:val="Normal"/>
        <w:jc w:val="center"/>
        <w:rPr>
          <w:rFonts w:ascii="Arial" w:hAnsi="Arial" w:cs="Arial"/>
          <w:b/>
          <w:u w:val="single"/>
        </w:rPr>
      </w:pPr>
      <w:r>
        <w:rPr>
          <w:rFonts w:cs="Arial" w:ascii="Arial" w:hAnsi="Arial"/>
          <w:b/>
          <w:u w:val="single"/>
        </w:rPr>
        <w:t>Schedule A</w:t>
      </w:r>
    </w:p>
    <w:p>
      <w:pPr>
        <w:pStyle w:val="Normal"/>
        <w:jc w:val="center"/>
        <w:rPr>
          <w:rFonts w:ascii="Arial" w:hAnsi="Arial" w:cs="Arial"/>
          <w:b/>
          <w:u w:val="single"/>
        </w:rPr>
      </w:pPr>
      <w:r>
        <w:rPr>
          <w:rFonts w:cs="Arial" w:ascii="Arial" w:hAnsi="Arial"/>
          <w:b/>
          <w:u w:val="single"/>
        </w:rPr>
      </w:r>
    </w:p>
    <w:tbl>
      <w:tblPr>
        <w:tblW w:w="8507" w:type="dxa"/>
        <w:jc w:val="start"/>
        <w:tblInd w:w="-5" w:type="dxa"/>
        <w:tblLayout w:type="fixed"/>
        <w:tblCellMar>
          <w:top w:w="0" w:type="dxa"/>
          <w:start w:w="0" w:type="dxa"/>
          <w:bottom w:w="0" w:type="dxa"/>
          <w:end w:w="0" w:type="dxa"/>
        </w:tblCellMar>
      </w:tblPr>
      <w:tblGrid>
        <w:gridCol w:w="545"/>
        <w:gridCol w:w="3461"/>
        <w:gridCol w:w="4501"/>
      </w:tblGrid>
      <w:tr>
        <w:trPr>
          <w:trHeight w:val="255" w:hRule="atLeast"/>
        </w:trPr>
        <w:tc>
          <w:tcPr>
            <w:tcW w:w="545" w:type="dxa"/>
            <w:tcBorders>
              <w:top w:val="single" w:sz="6" w:space="0" w:color="000000"/>
              <w:start w:val="single" w:sz="6" w:space="0" w:color="000000"/>
              <w:bottom w:val="single" w:sz="12" w:space="0" w:color="000000"/>
            </w:tcBorders>
            <w:vAlign w:val="bottom"/>
          </w:tcPr>
          <w:p>
            <w:pPr>
              <w:pStyle w:val="Normal"/>
              <w:jc w:val="center"/>
              <w:rPr>
                <w:rFonts w:ascii="Arial" w:hAnsi="Arial" w:cs="Arial"/>
                <w:b/>
                <w:bCs/>
                <w:sz w:val="18"/>
              </w:rPr>
            </w:pPr>
            <w:r>
              <w:rPr>
                <w:rFonts w:cs="Arial" w:ascii="Arial" w:hAnsi="Arial"/>
                <w:b/>
                <w:bCs/>
                <w:sz w:val="18"/>
              </w:rPr>
              <w:t>#</w:t>
            </w:r>
          </w:p>
        </w:tc>
        <w:tc>
          <w:tcPr>
            <w:tcW w:w="3461" w:type="dxa"/>
            <w:tcBorders>
              <w:top w:val="single" w:sz="6" w:space="0" w:color="000000"/>
              <w:bottom w:val="single" w:sz="12" w:space="0" w:color="000000"/>
            </w:tcBorders>
            <w:vAlign w:val="bottom"/>
          </w:tcPr>
          <w:p>
            <w:pPr>
              <w:pStyle w:val="Normal"/>
              <w:rPr>
                <w:rFonts w:ascii="Arial" w:hAnsi="Arial" w:cs="Arial"/>
                <w:b/>
                <w:bCs/>
                <w:sz w:val="18"/>
              </w:rPr>
            </w:pPr>
            <w:r>
              <w:rPr>
                <w:rFonts w:cs="Arial" w:ascii="Arial" w:hAnsi="Arial"/>
                <w:b/>
                <w:bCs/>
                <w:sz w:val="18"/>
              </w:rPr>
              <w:t>Reference Entity</w:t>
            </w:r>
          </w:p>
          <w:p>
            <w:pPr>
              <w:pStyle w:val="Normal"/>
              <w:rPr>
                <w:rFonts w:ascii="Arial" w:hAnsi="Arial" w:eastAsia="Arial Unicode MS" w:cs="Arial"/>
                <w:b/>
                <w:bCs/>
                <w:sz w:val="18"/>
              </w:rPr>
            </w:pPr>
            <w:r>
              <w:rPr>
                <w:rFonts w:eastAsia="Arial Unicode MS" w:cs="Arial" w:ascii="Arial" w:hAnsi="Arial"/>
                <w:b/>
                <w:bCs/>
                <w:sz w:val="18"/>
              </w:rPr>
            </w:r>
          </w:p>
        </w:tc>
        <w:tc>
          <w:tcPr>
            <w:tcW w:w="4501" w:type="dxa"/>
            <w:tcBorders>
              <w:top w:val="single" w:sz="6" w:space="0" w:color="000000"/>
              <w:bottom w:val="single" w:sz="12" w:space="0" w:color="000000"/>
              <w:end w:val="single" w:sz="6" w:space="0" w:color="000000"/>
            </w:tcBorders>
          </w:tcPr>
          <w:p>
            <w:pPr>
              <w:pStyle w:val="Normal"/>
              <w:jc w:val="center"/>
              <w:rPr>
                <w:rFonts w:ascii="Arial" w:hAnsi="Arial" w:cs="Arial"/>
                <w:b/>
                <w:bCs/>
                <w:sz w:val="18"/>
              </w:rPr>
            </w:pPr>
            <w:r>
              <w:rPr>
                <w:rFonts w:cs="Arial" w:ascii="Arial" w:hAnsi="Arial"/>
                <w:b/>
                <w:bCs/>
                <w:sz w:val="18"/>
              </w:rPr>
              <w:t>Floating Rate Payer Calculation Amount (US$)</w:t>
            </w:r>
          </w:p>
        </w:tc>
      </w:tr>
      <w:tr>
        <w:trPr>
          <w:trHeight w:val="255" w:hRule="atLeast"/>
        </w:trPr>
        <w:tc>
          <w:tcPr>
            <w:tcW w:w="545" w:type="dxa"/>
            <w:tcBorders>
              <w:top w:val="single" w:sz="12"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1</w:t>
            </w:r>
          </w:p>
        </w:tc>
        <w:tc>
          <w:tcPr>
            <w:tcW w:w="3461" w:type="dxa"/>
            <w:tcBorders>
              <w:top w:val="single" w:sz="12"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Abitibi-Consolidated Inc.</w:t>
            </w:r>
          </w:p>
        </w:tc>
        <w:tc>
          <w:tcPr>
            <w:tcW w:w="4501" w:type="dxa"/>
            <w:tcBorders>
              <w:top w:val="single" w:sz="12"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2</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Adecco SA</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3</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Aegon NV</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4</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Agrium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5</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Amerada Hess Corp.</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6</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AMR Corp/Del</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7</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Avon Products</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8</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BAE Systems Plc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9</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Bank of America Corp.</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10</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BASF AG</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11</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Black &amp; Decker Corporation</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12</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BNP Paribas</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13</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British American Tobacco Plc (BAT)</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14</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British Telecom Plc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15</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Burlington Northern Santa Fe Corp.</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16</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Canadian National Railway Co.</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17</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Cardinal Health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18</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Carnival Corp.</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19</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Cendant Corporation</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20</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CNA Financial Corp.</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21</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Comcast Corp.</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22</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Comdisco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23</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Compaq Computer Corp.</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24</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Corus Group Plc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25</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Costco Wholesale Corp.</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26</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Countrywide Home Loan</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27</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Dana Corp.</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28</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Delta Air Lines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29</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Deutsche Telekom</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30</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Diageo Plc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31</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Duke Energy Corp.</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32</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Eastman Chemical Company</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33</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Electrolux AB</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34</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Enterprise Oil Plc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35</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Fiat SpA</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36</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First Union Corp.</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37</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FMC Corp.</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38</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Four Seasons Hotels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39</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France Telecom</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40</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Gap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41</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General Motors Corp.</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42</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Georgia-Pacific (Georgia-Pacific Group)</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43</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Getronics NV</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44</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Goodyear Tire &amp; Rubber Co.</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45</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Groupe Danone</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46</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Heidelberger Zement AG</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47</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Hilton Hotels Corp.</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48</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Hyder Plc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49</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Imperial Chemical Industries plc (ICI)</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50</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International Paper Co.</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51</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Koninklijke Ahold NV</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52</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Kroger Co.</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53</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Lafarge</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54</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Legrand</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55</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Lehman Brothers Holdings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56</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Lockheed Martin Corporation</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57</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Mannesmann AG</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58</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Manpower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59</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Marriott International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60</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Mattel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61</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MBIA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62</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MBNA Corp.</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63</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Mckesson HBOC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64</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MEPC plc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65</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Newell Rubbermaid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66</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Nike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67</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Nordstrom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68</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Novartis</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69</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Pearson Plc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70</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PerkinElmer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71</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Philip Morris Companies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72</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Placer Dome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73</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Powergen Plc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74</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Rayonier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75</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Raytheon Co.</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76</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Reebok International Ltd.</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77</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Republic Services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78</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Reuters Group Plc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79</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Ryder System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80</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Safeway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81</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Seagram Co. Ltd.</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82</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Sealed Air Corp.</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83</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Sears, Roebuck And Co.</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84</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SKF AB</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85</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Solectron Corp.</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86</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Southwest Airlines</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87</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Talisman Energy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88</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Tate &amp; Lyle Plc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89</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Telefonica SA</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90</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Tesco Plc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91</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Time Warner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92</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Transocean Sedco Forex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93</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Tribune Co.</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94</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TXU Corporation</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95</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Union Pacific Corp.</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96</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Usinor SA</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97</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Viacom Inc.</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98</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Vivendi SA</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99</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VNU NV</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r>
        <w:trPr>
          <w:trHeight w:val="255" w:hRule="atLeast"/>
        </w:trPr>
        <w:tc>
          <w:tcPr>
            <w:tcW w:w="545" w:type="dxa"/>
            <w:tcBorders>
              <w:top w:val="single" w:sz="6" w:space="0" w:color="000000"/>
              <w:start w:val="single" w:sz="6" w:space="0" w:color="000000"/>
              <w:bottom w:val="single" w:sz="6" w:space="0" w:color="000000"/>
            </w:tcBorders>
            <w:vAlign w:val="bottom"/>
          </w:tcPr>
          <w:p>
            <w:pPr>
              <w:pStyle w:val="Normal"/>
              <w:jc w:val="center"/>
              <w:rPr>
                <w:rFonts w:ascii="Arial" w:hAnsi="Arial" w:eastAsia="Arial Unicode MS" w:cs="Arial"/>
                <w:b/>
                <w:bCs/>
                <w:sz w:val="18"/>
              </w:rPr>
            </w:pPr>
            <w:r>
              <w:rPr>
                <w:rFonts w:eastAsia="Arial Unicode MS" w:cs="Arial" w:ascii="Arial" w:hAnsi="Arial"/>
                <w:b/>
                <w:bCs/>
                <w:sz w:val="18"/>
              </w:rPr>
              <w:t>100</w:t>
            </w:r>
          </w:p>
        </w:tc>
        <w:tc>
          <w:tcPr>
            <w:tcW w:w="3461" w:type="dxa"/>
            <w:tcBorders>
              <w:top w:val="single" w:sz="6" w:space="0" w:color="000000"/>
              <w:bottom w:val="single" w:sz="6" w:space="0" w:color="000000"/>
            </w:tcBorders>
            <w:vAlign w:val="bottom"/>
          </w:tcPr>
          <w:p>
            <w:pPr>
              <w:pStyle w:val="Normal"/>
              <w:rPr>
                <w:rFonts w:ascii="Arial" w:hAnsi="Arial" w:eastAsia="Arial Unicode MS" w:cs="Arial"/>
                <w:sz w:val="18"/>
              </w:rPr>
            </w:pPr>
            <w:r>
              <w:rPr>
                <w:rFonts w:cs="Arial" w:ascii="Arial" w:hAnsi="Arial"/>
                <w:sz w:val="18"/>
              </w:rPr>
              <w:t>Weyerhauser Company Ltd.</w:t>
            </w:r>
          </w:p>
        </w:tc>
        <w:tc>
          <w:tcPr>
            <w:tcW w:w="4501" w:type="dxa"/>
            <w:tcBorders>
              <w:top w:val="single" w:sz="6" w:space="0" w:color="000000"/>
              <w:bottom w:val="single" w:sz="6" w:space="0" w:color="000000"/>
              <w:end w:val="single" w:sz="6" w:space="0" w:color="000000"/>
            </w:tcBorders>
          </w:tcPr>
          <w:p>
            <w:pPr>
              <w:pStyle w:val="Normal"/>
              <w:jc w:val="center"/>
              <w:rPr>
                <w:rFonts w:ascii="Arial" w:hAnsi="Arial" w:cs="Arial"/>
                <w:sz w:val="18"/>
              </w:rPr>
            </w:pPr>
            <w:r>
              <w:rPr>
                <w:rFonts w:cs="Arial" w:ascii="Arial" w:hAnsi="Arial"/>
                <w:sz w:val="18"/>
              </w:rPr>
              <w:t>10,000,000</w:t>
            </w:r>
          </w:p>
        </w:tc>
      </w:tr>
    </w:tbl>
    <w:p>
      <w:pPr>
        <w:pStyle w:val="Normal"/>
        <w:rPr>
          <w:sz w:val="18"/>
        </w:rPr>
      </w:pPr>
      <w:r>
        <w:rPr>
          <w:sz w:val="18"/>
        </w:rPr>
      </w:r>
    </w:p>
    <w:p>
      <w:pPr>
        <w:pStyle w:val="Normal"/>
        <w:jc w:val="both"/>
        <w:rPr>
          <w:rFonts w:ascii="Arial" w:hAnsi="Arial" w:cs="Arial"/>
          <w:color w:val="000000"/>
          <w:sz w:val="18"/>
        </w:rPr>
      </w:pPr>
      <w:r>
        <w:rPr>
          <w:rFonts w:cs="Arial" w:ascii="Arial" w:hAnsi="Arial"/>
          <w:color w:val="000000"/>
          <w:sz w:val="18"/>
        </w:rPr>
      </w:r>
    </w:p>
    <w:sectPr>
      <w:headerReference w:type="default" r:id="rId3"/>
      <w:footerReference w:type="default" r:id="rId4"/>
      <w:type w:val="nextPage"/>
      <w:pgSz w:w="12240" w:h="15840"/>
      <w:pgMar w:left="567" w:right="616" w:gutter="0" w:header="360" w:top="1440" w:footer="393"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Helvetica (PCL6)">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20"/>
        <w:tab w:val="left" w:pos="10440" w:leader="none"/>
        <w:tab w:val="left" w:pos="11160" w:leader="none"/>
      </w:tabs>
      <w:ind w:end="180"/>
      <w:rPr>
        <w:sz w:val="16"/>
      </w:rPr>
    </w:pPr>
    <w:r>
      <w:rPr>
        <w:sz w:val="16"/>
      </w:rPr>
      <w:fldChar w:fldCharType="begin"/>
    </w:r>
    <w:r>
      <w:rPr>
        <w:sz w:val="16"/>
      </w:rPr>
      <w:instrText xml:space="preserve"> FILENAME \p </w:instrText>
    </w:r>
    <w:r>
      <w:rPr>
        <w:sz w:val="16"/>
      </w:rPr>
      <w:fldChar w:fldCharType="separate"/>
    </w:r>
    <w:r>
      <w:rPr>
        <w:sz w:val="16"/>
      </w:rPr>
      <w:t>/mnt/main-storage/datasets/enron-docs/doc/FSA_Portfolio_CDS_Transaction__EXECUTION_COPY_.DOC</w:t>
    </w:r>
    <w:r>
      <w:rPr>
        <w:sz w:val="16"/>
      </w:rPr>
      <w:fldChar w:fldCharType="end"/>
    </w:r>
    <w:r>
      <mc:AlternateContent>
        <mc:Choice Requires="wps">
          <w:drawing>
            <wp:anchor behindDoc="0" distT="0" distB="0" distL="0" distR="0" simplePos="0" locked="0" layoutInCell="0" allowOverlap="1" relativeHeight="19">
              <wp:simplePos x="0" y="0"/>
              <wp:positionH relativeFrom="margin">
                <wp:align>right</wp:align>
              </wp:positionH>
              <wp:positionV relativeFrom="paragraph">
                <wp:posOffset>635</wp:posOffset>
              </wp:positionV>
              <wp:extent cx="128270"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542.7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30" w:leader="none"/>
        <w:tab w:val="right" w:pos="10710" w:leader="none"/>
      </w:tabs>
      <w:jc w:val="end"/>
      <w:rPr/>
    </w:pPr>
    <w:r>
      <w:rPr/>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abstractNum w:abstractNumId="3">
    <w:lvl w:ilvl="0">
      <w:start w:val="1"/>
      <w:numFmt w:val="lowerLetter"/>
      <w:lvlText w:val="(%1)"/>
      <w:lvlJc w:val="start"/>
      <w:pPr>
        <w:tabs>
          <w:tab w:val="num" w:pos="360"/>
        </w:tabs>
        <w:ind w:start="360" w:hanging="360"/>
      </w:pPr>
      <w:rPr>
        <w:i w:val="false"/>
        <w:b/>
      </w:rPr>
    </w:lvl>
  </w:abstractNum>
  <w:abstractNum w:abstractNumId="4">
    <w:lvl w:ilvl="0">
      <w:start w:val="2"/>
      <w:numFmt w:val="lowerRoman"/>
      <w:lvlText w:val="(%1)"/>
      <w:lvlJc w:val="start"/>
      <w:pPr>
        <w:tabs>
          <w:tab w:val="num" w:pos="720"/>
        </w:tabs>
        <w:ind w:start="720" w:hanging="720"/>
      </w:pPr>
      <w:rPr>
        <w:b/>
      </w:rPr>
    </w:lvl>
  </w:abstractNum>
  <w:abstractNum w:abstractNumId="5">
    <w:lvl w:ilvl="0">
      <w:start w:val="1"/>
      <w:numFmt w:val="lowerLetter"/>
      <w:lvlText w:val="(%1)"/>
      <w:lvlJc w:val="start"/>
      <w:pPr>
        <w:tabs>
          <w:tab w:val="num" w:pos="384"/>
        </w:tabs>
        <w:ind w:start="384" w:hanging="360"/>
      </w:pPr>
      <w:rPr/>
    </w:lvl>
  </w:abstractNum>
  <w:abstractNum w:abstractNumId="6">
    <w:lvl w:ilvl="0">
      <w:start w:val="2"/>
      <w:numFmt w:val="lowerLetter"/>
      <w:lvlText w:val="(%1)"/>
      <w:lvlJc w:val="start"/>
      <w:pPr>
        <w:tabs>
          <w:tab w:val="num" w:pos="384"/>
        </w:tabs>
        <w:ind w:start="384" w:hanging="360"/>
      </w:pPr>
      <w:rPr/>
    </w:lvl>
  </w:abstractNum>
  <w:abstractNum w:abstractNumId="7">
    <w:lvl w:ilvl="0">
      <w:start w:val="1"/>
      <w:numFmt w:val="lowerLetter"/>
      <w:lvlText w:val="(%1)"/>
      <w:lvlJc w:val="start"/>
      <w:pPr>
        <w:tabs>
          <w:tab w:val="num" w:pos="1080"/>
        </w:tabs>
        <w:ind w:start="1080" w:hanging="360"/>
      </w:pPr>
      <w:rPr>
        <w:i w:val="false"/>
        <w:b w:val="false"/>
        <w:color w:val="000000"/>
      </w:rPr>
    </w:lvl>
  </w:abstractNum>
  <w:abstractNum w:abstractNumId="8">
    <w:lvl w:ilvl="0">
      <w:start w:val="3"/>
      <w:numFmt w:val="lowerLetter"/>
      <w:lvlText w:val="(%1)"/>
      <w:lvlJc w:val="start"/>
      <w:pPr>
        <w:tabs>
          <w:tab w:val="num" w:pos="360"/>
        </w:tabs>
        <w:ind w:start="360" w:hanging="360"/>
      </w:pPr>
      <w:rPr>
        <w:i w:val="false"/>
        <w:b/>
      </w:rPr>
    </w:lvl>
  </w:abstractNum>
  <w:abstractNum w:abstractNumId="9">
    <w:lvl w:ilvl="0">
      <w:start w:val="1"/>
      <w:numFmt w:val="lowerLetter"/>
      <w:lvlText w:val="(%1)"/>
      <w:lvlJc w:val="start"/>
      <w:pPr>
        <w:tabs>
          <w:tab w:val="num" w:pos="360"/>
        </w:tabs>
        <w:ind w:start="360" w:hanging="360"/>
      </w:pPr>
      <w:rPr/>
    </w:lvl>
  </w:abstractNum>
  <w:abstractNum w:abstractNumId="10">
    <w:lvl w:ilvl="0">
      <w:start w:val="1"/>
      <w:numFmt w:val="lowerLetter"/>
      <w:lvlText w:val="(%1)"/>
      <w:lvlJc w:val="start"/>
      <w:pPr>
        <w:tabs>
          <w:tab w:val="num" w:pos="360"/>
        </w:tabs>
        <w:ind w:start="360" w:hanging="360"/>
      </w:pPr>
      <w:rPr/>
    </w:lvl>
  </w:abstractNum>
  <w:abstractNum w:abstractNumId="11">
    <w:lvl w:ilvl="0">
      <w:start w:val="3"/>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docVars>
    <w:docVar w:name="DocRef" w:val="ICM:419470.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spacing w:before="20" w:after="60"/>
      <w:outlineLvl w:val="2"/>
    </w:pPr>
    <w:rPr>
      <w:sz w:val="24"/>
    </w:rPr>
  </w:style>
  <w:style w:type="paragraph" w:styleId="Heading4">
    <w:name w:val="heading 4"/>
    <w:basedOn w:val="Normal"/>
    <w:next w:val="Normal"/>
    <w:qFormat/>
    <w:pPr>
      <w:keepNext w:val="true"/>
      <w:numPr>
        <w:ilvl w:val="3"/>
        <w:numId w:val="1"/>
      </w:numPr>
      <w:spacing w:before="20" w:after="60"/>
      <w:outlineLvl w:val="3"/>
    </w:pPr>
    <w:rPr>
      <w:color w:val="000080"/>
      <w:sz w:val="24"/>
    </w:rPr>
  </w:style>
  <w:style w:type="paragraph" w:styleId="Heading5">
    <w:name w:val="heading 5"/>
    <w:basedOn w:val="Normal"/>
    <w:next w:val="Normal"/>
    <w:qFormat/>
    <w:pPr>
      <w:keepNext w:val="true"/>
      <w:numPr>
        <w:ilvl w:val="4"/>
        <w:numId w:val="1"/>
      </w:numPr>
      <w:spacing w:before="20" w:after="60"/>
      <w:jc w:val="center"/>
      <w:outlineLvl w:val="4"/>
    </w:pPr>
    <w:rPr>
      <w:b/>
      <w:sz w:val="24"/>
    </w:rPr>
  </w:style>
  <w:style w:type="paragraph" w:styleId="Heading6">
    <w:name w:val="heading 6"/>
    <w:basedOn w:val="Normal"/>
    <w:next w:val="Normal"/>
    <w:qFormat/>
    <w:pPr>
      <w:keepNext w:val="true"/>
      <w:numPr>
        <w:ilvl w:val="5"/>
        <w:numId w:val="1"/>
      </w:numPr>
      <w:spacing w:before="20" w:after="60"/>
      <w:jc w:val="center"/>
      <w:outlineLvl w:val="5"/>
    </w:pPr>
    <w:rPr>
      <w:sz w:val="36"/>
    </w:rPr>
  </w:style>
  <w:style w:type="paragraph" w:styleId="Heading7">
    <w:name w:val="heading 7"/>
    <w:basedOn w:val="Normal"/>
    <w:next w:val="Normal"/>
    <w:qFormat/>
    <w:pPr>
      <w:keepNext w:val="true"/>
      <w:numPr>
        <w:ilvl w:val="6"/>
        <w:numId w:val="1"/>
      </w:numPr>
      <w:spacing w:before="20" w:after="60"/>
      <w:outlineLvl w:val="6"/>
    </w:pPr>
    <w:rPr>
      <w:color w:val="000000"/>
      <w:sz w:val="22"/>
      <w:u w:val="single"/>
    </w:rPr>
  </w:style>
  <w:style w:type="paragraph" w:styleId="Heading8">
    <w:name w:val="heading 8"/>
    <w:basedOn w:val="Normal"/>
    <w:next w:val="Normal"/>
    <w:qFormat/>
    <w:pPr>
      <w:keepNext w:val="true"/>
      <w:numPr>
        <w:ilvl w:val="7"/>
        <w:numId w:val="1"/>
      </w:numPr>
      <w:tabs>
        <w:tab w:val="clear" w:pos="720"/>
        <w:tab w:val="left" w:pos="-1440" w:leader="none"/>
        <w:tab w:val="left" w:pos="-720" w:leader="none"/>
        <w:tab w:val="left" w:pos="0" w:leader="none"/>
      </w:tabs>
      <w:outlineLvl w:val="7"/>
    </w:pPr>
    <w:rPr>
      <w:b/>
      <w:color w:val="000000"/>
      <w:sz w:val="22"/>
      <w:u w:val="single"/>
    </w:rPr>
  </w:style>
  <w:style w:type="paragraph" w:styleId="Heading9">
    <w:name w:val="heading 9"/>
    <w:basedOn w:val="Normal"/>
    <w:next w:val="Normal"/>
    <w:qFormat/>
    <w:pPr>
      <w:keepNext w:val="true"/>
      <w:numPr>
        <w:ilvl w:val="8"/>
        <w:numId w:val="1"/>
      </w:numPr>
      <w:tabs>
        <w:tab w:val="clear" w:pos="720"/>
        <w:tab w:val="left" w:pos="-1440" w:leader="none"/>
        <w:tab w:val="left" w:pos="-720" w:leader="none"/>
        <w:tab w:val="left" w:pos="0" w:leader="none"/>
      </w:tabs>
      <w:ind w:hanging="0" w:start="720" w:end="0"/>
      <w:outlineLvl w:val="8"/>
    </w:pPr>
    <w:rPr>
      <w:b/>
      <w:color w:val="000000"/>
      <w:sz w:val="22"/>
      <w:u w:val="single"/>
    </w:rPr>
  </w:style>
  <w:style w:type="character" w:styleId="WW8Num1z0">
    <w:name w:val="WW8Num1z0"/>
    <w:qFormat/>
    <w:rPr/>
  </w:style>
  <w:style w:type="character" w:styleId="WW8Num2z0">
    <w:name w:val="WW8Num2z0"/>
    <w:qFormat/>
    <w:rPr/>
  </w:style>
  <w:style w:type="character" w:styleId="WW8Num3z0">
    <w:name w:val="WW8Num3z0"/>
    <w:qFormat/>
    <w:rPr>
      <w:b/>
      <w:i w:val="false"/>
    </w:rPr>
  </w:style>
  <w:style w:type="character" w:styleId="WW8Num4z0">
    <w:name w:val="WW8Num4z0"/>
    <w:qFormat/>
    <w:rPr>
      <w:b/>
    </w:rPr>
  </w:style>
  <w:style w:type="character" w:styleId="WW8Num6z0">
    <w:name w:val="WW8Num6z0"/>
    <w:qFormat/>
    <w:rPr/>
  </w:style>
  <w:style w:type="character" w:styleId="WW8Num7z0">
    <w:name w:val="WW8Num7z0"/>
    <w:qFormat/>
    <w:rPr/>
  </w:style>
  <w:style w:type="character" w:styleId="WW8Num8z0">
    <w:name w:val="WW8Num8z0"/>
    <w:qFormat/>
    <w:rPr>
      <w:b w:val="false"/>
    </w:rPr>
  </w:style>
  <w:style w:type="character" w:styleId="WW8Num9z0">
    <w:name w:val="WW8Num9z0"/>
    <w:qFormat/>
    <w:rPr>
      <w:b w:val="false"/>
      <w:i w:val="false"/>
      <w:color w:val="000000"/>
    </w:rPr>
  </w:style>
  <w:style w:type="character" w:styleId="WW8Num10z0">
    <w:name w:val="WW8Num10z0"/>
    <w:qFormat/>
    <w:rPr>
      <w:b w:val="false"/>
      <w:i w:val="false"/>
      <w:color w:val="000000"/>
    </w:rPr>
  </w:style>
  <w:style w:type="character" w:styleId="WW8Num11z0">
    <w:name w:val="WW8Num11z0"/>
    <w:qFormat/>
    <w:rPr>
      <w:b/>
      <w:i w:val="fals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b w:val="false"/>
      <w:i w:val="false"/>
      <w:color w:val="000000"/>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jc w:val="center"/>
    </w:pPr>
    <w:rPr>
      <w:b/>
      <w:u w:val="single"/>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2880" w:leader="none"/>
      </w:tabs>
      <w:spacing w:before="20" w:after="60"/>
    </w:pPr>
    <w:rPr>
      <w:b/>
      <w:sz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20" w:after="60"/>
    </w:pPr>
    <w:rPr>
      <w:sz w:val="24"/>
    </w:rPr>
  </w:style>
  <w:style w:type="paragraph" w:styleId="WW-BodyText2">
    <w:name w:val="WW-Body Text 2"/>
    <w:basedOn w:val="Normal"/>
    <w:qFormat/>
    <w:pPr>
      <w:tabs>
        <w:tab w:val="clear" w:pos="720"/>
        <w:tab w:val="left" w:pos="-1080" w:leader="none"/>
        <w:tab w:val="left" w:pos="-720" w:leader="none"/>
        <w:tab w:val="left" w:pos="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ind w:hanging="72" w:start="72" w:end="0"/>
    </w:pPr>
    <w:rPr>
      <w:sz w:val="24"/>
    </w:rPr>
  </w:style>
  <w:style w:type="paragraph" w:styleId="BodyTextIndent2">
    <w:name w:val="Body Text Indent 2"/>
    <w:basedOn w:val="Normal"/>
    <w:qFormat/>
    <w:pPr>
      <w:tabs>
        <w:tab w:val="clear" w:pos="720"/>
        <w:tab w:val="left" w:pos="-18" w:leader="none"/>
      </w:tabs>
      <w:ind w:hanging="18" w:start="0" w:end="0"/>
      <w:jc w:val="both"/>
    </w:pPr>
    <w:rPr>
      <w:rFonts w:ascii="CG Times" w:hAnsi="CG Times" w:cs="CG Times"/>
      <w:sz w:val="24"/>
    </w:rPr>
  </w:style>
  <w:style w:type="paragraph" w:styleId="BodyTextIndent3">
    <w:name w:val="Body Text Indent 3"/>
    <w:basedOn w:val="Normal"/>
    <w:qFormat/>
    <w:pPr>
      <w:tabs>
        <w:tab w:val="left" w:pos="-18" w:leader="none"/>
        <w:tab w:val="left" w:pos="720" w:leader="none"/>
        <w:tab w:val="left" w:pos="1440" w:leader="none"/>
      </w:tabs>
      <w:ind w:firstLine="18" w:start="-18" w:end="0"/>
      <w:jc w:val="both"/>
    </w:pPr>
    <w:rPr>
      <w:rFonts w:ascii="CG Times" w:hAnsi="CG Times" w:cs="CG Times"/>
      <w:sz w:val="24"/>
    </w:rPr>
  </w:style>
  <w:style w:type="paragraph" w:styleId="BodyText3">
    <w:name w:val="Body Text 3"/>
    <w:basedOn w:val="Normal"/>
    <w:qFormat/>
    <w:pPr>
      <w:tabs>
        <w:tab w:val="left" w:pos="0" w:leader="none"/>
        <w:tab w:val="left" w:pos="720" w:leader="none"/>
        <w:tab w:val="left" w:pos="1440" w:leader="none"/>
      </w:tabs>
      <w:jc w:val="both"/>
    </w:pPr>
    <w:rPr>
      <w:rFonts w:ascii="CG Times" w:hAnsi="CG Times" w:cs="CG Times"/>
      <w:sz w:val="24"/>
    </w:rPr>
  </w:style>
  <w:style w:type="paragraph" w:styleId="FootnoteText">
    <w:name w:val="footnote text"/>
    <w:basedOn w:val="Normal"/>
    <w:pPr/>
    <w:rPr/>
  </w:style>
  <w:style w:type="paragraph" w:styleId="CommentText">
    <w:name w:val="Comment Text"/>
    <w:basedOn w:val="Normal"/>
    <w:qFormat/>
    <w:pPr/>
    <w:rPr/>
  </w:style>
  <w:style w:type="paragraph" w:styleId="WW-BodyText21">
    <w:name w:val="WW-Body Text 21"/>
    <w:basedOn w:val="Normal"/>
    <w:qFormat/>
    <w:pPr>
      <w:tabs>
        <w:tab w:val="clear" w:pos="720"/>
        <w:tab w:val="left" w:pos="635" w:leader="none"/>
      </w:tabs>
      <w:ind w:firstLine="18" w:start="-18" w:end="0"/>
    </w:pPr>
    <w:rPr>
      <w:color w:val="FF0000"/>
    </w:rPr>
  </w:style>
  <w:style w:type="paragraph" w:styleId="WW-BodyText22">
    <w:name w:val="WW-Body Text 22"/>
    <w:basedOn w:val="Normal"/>
    <w:qFormat/>
    <w:pPr>
      <w:tabs>
        <w:tab w:val="clear" w:pos="720"/>
        <w:tab w:val="left" w:pos="-1440" w:leader="none"/>
        <w:tab w:val="left" w:pos="-108" w:leader="none"/>
        <w:tab w:val="left" w:pos="0" w:leader="none"/>
      </w:tabs>
      <w:ind w:firstLine="720" w:start="0" w:end="0"/>
    </w:pPr>
    <w:rPr>
      <w:color w:val="000000"/>
      <w:sz w:val="22"/>
    </w:rPr>
  </w:style>
  <w:style w:type="paragraph" w:styleId="ListAlpha2">
    <w:name w:val="List Alpha 2"/>
    <w:basedOn w:val="Normal"/>
    <w:next w:val="WW-BodyText22"/>
    <w:qFormat/>
    <w:pPr>
      <w:tabs>
        <w:tab w:val="clear" w:pos="720"/>
        <w:tab w:val="left" w:pos="50" w:leader="none"/>
        <w:tab w:val="left" w:pos="1417" w:leader="none"/>
      </w:tabs>
      <w:spacing w:lineRule="auto" w:line="288" w:before="0" w:after="200"/>
      <w:ind w:hanging="793" w:start="1417" w:end="0"/>
      <w:jc w:val="both"/>
    </w:pPr>
    <w:rPr>
      <w:rFonts w:ascii="CG Times" w:hAnsi="CG Times" w:cs="CG Times"/>
      <w:sz w:val="22"/>
      <w:lang w:val="en-GB"/>
    </w:rPr>
  </w:style>
  <w:style w:type="paragraph" w:styleId="BodyTextIndent">
    <w:name w:val="Body Text Indent"/>
    <w:basedOn w:val="Normal"/>
    <w:pPr>
      <w:tabs>
        <w:tab w:val="clear" w:pos="720"/>
        <w:tab w:val="left" w:pos="-1440" w:leader="none"/>
        <w:tab w:val="left" w:pos="-108" w:leader="none"/>
        <w:tab w:val="left" w:pos="0" w:leader="none"/>
      </w:tabs>
      <w:ind w:firstLine="656" w:start="0" w:end="0"/>
      <w:jc w:val="both"/>
    </w:pPr>
    <w:rPr>
      <w:rFonts w:ascii="Arial" w:hAnsi="Arial" w:cs="Arial"/>
      <w:color w:val="FF00FF"/>
      <w:sz w:val="22"/>
    </w:rPr>
  </w:style>
  <w:style w:type="paragraph" w:styleId="ACedilla">
    <w:name w:val="ACedilla"/>
    <w:qFormat/>
    <w:pPr>
      <w:widowControl/>
      <w:bidi w:val="0"/>
      <w:jc w:val="both"/>
    </w:pPr>
    <w:rPr>
      <w:rFonts w:ascii="Times New Roman" w:hAnsi="Times New Roman" w:eastAsia="Times New Roman" w:cs="Times New Roman"/>
      <w:color w:val="000000"/>
      <w:sz w:val="22"/>
      <w:szCs w:val="20"/>
      <w:lang w:val="en-GB"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2000-12-22T12:33:00Z</dcterms:created>
  <dc:creator>Denis O'Connell</dc:creator>
  <dc:description/>
  <dc:language>en-CA</dc:language>
  <cp:lastModifiedBy>doconnel</cp:lastModifiedBy>
  <cp:lastPrinted>2000-12-22T15:22:00Z</cp:lastPrinted>
  <dcterms:modified xsi:type="dcterms:W3CDTF">2000-12-22T12:52:00Z</dcterms:modified>
  <cp:revision>4</cp:revision>
  <dc:subject/>
  <dc:title>Credit Default Swaps </dc:title>
</cp:coreProperties>
</file>