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0"/>
        </w:rPr>
      </w:pPr>
      <w:r>
        <w:rPr>
          <w:b/>
          <w:bCs/>
          <w:sz w:val="20"/>
        </w:rPr>
      </w:r>
    </w:p>
    <w:p>
      <w:pPr>
        <w:pStyle w:val="Normal"/>
        <w:jc w:val="center"/>
        <w:rPr>
          <w:b/>
          <w:bCs/>
          <w:sz w:val="20"/>
        </w:rPr>
      </w:pPr>
      <w:r>
        <w:rPr>
          <w:b/>
          <w:bCs/>
          <w:sz w:val="20"/>
        </w:rPr>
        <w:t>SCHEDULE</w:t>
      </w:r>
    </w:p>
    <w:p>
      <w:pPr>
        <w:pStyle w:val="Normal"/>
        <w:jc w:val="center"/>
        <w:rPr>
          <w:b/>
          <w:bCs/>
          <w:sz w:val="20"/>
        </w:rPr>
      </w:pPr>
      <w:r>
        <w:rPr>
          <w:b/>
          <w:bCs/>
          <w:sz w:val="20"/>
        </w:rPr>
        <w:t>to the</w:t>
      </w:r>
    </w:p>
    <w:p>
      <w:pPr>
        <w:pStyle w:val="Normal"/>
        <w:spacing w:before="0" w:after="240"/>
        <w:jc w:val="center"/>
        <w:rPr>
          <w:b/>
          <w:bCs/>
          <w:sz w:val="20"/>
        </w:rPr>
      </w:pPr>
      <w:r>
        <w:rPr>
          <w:b/>
          <w:bCs/>
          <w:sz w:val="20"/>
        </w:rPr>
        <w:t>MASTER AGREEMENT</w:t>
      </w:r>
    </w:p>
    <w:p>
      <w:pPr>
        <w:pStyle w:val="Normal"/>
        <w:spacing w:before="0" w:after="240"/>
        <w:jc w:val="center"/>
        <w:rPr>
          <w:sz w:val="20"/>
        </w:rPr>
      </w:pPr>
      <w:r>
        <w:rPr>
          <w:b/>
          <w:bCs/>
          <w:sz w:val="20"/>
        </w:rPr>
        <w:t>dated as of  22 December 2000</w:t>
      </w:r>
    </w:p>
    <w:p>
      <w:pPr>
        <w:pStyle w:val="Normal"/>
        <w:jc w:val="both"/>
        <w:rPr/>
      </w:pPr>
      <w:r>
        <w:rPr>
          <w:sz w:val="20"/>
        </w:rPr>
        <w:t>among:</w:t>
        <w:tab/>
        <w:tab/>
      </w:r>
      <w:r>
        <w:rPr>
          <w:b/>
          <w:sz w:val="20"/>
        </w:rPr>
        <w:t>Enron North America Corp.</w:t>
      </w:r>
    </w:p>
    <w:p>
      <w:pPr>
        <w:pStyle w:val="Normal"/>
        <w:spacing w:before="0" w:after="240"/>
        <w:ind w:firstLine="1584" w:end="0"/>
        <w:jc w:val="both"/>
        <w:rPr>
          <w:sz w:val="20"/>
        </w:rPr>
      </w:pPr>
      <w:r>
        <w:rPr>
          <w:sz w:val="20"/>
        </w:rPr>
        <w:t>(“Party A”),</w:t>
      </w:r>
    </w:p>
    <w:p>
      <w:pPr>
        <w:pStyle w:val="Normal"/>
        <w:jc w:val="both"/>
        <w:rPr>
          <w:b/>
          <w:sz w:val="20"/>
        </w:rPr>
      </w:pPr>
      <w:r>
        <w:rPr>
          <w:b/>
          <w:sz w:val="20"/>
        </w:rPr>
        <w:tab/>
        <w:tab/>
        <w:t>CREDIT PROTECTION TRUST XXVI</w:t>
      </w:r>
    </w:p>
    <w:p>
      <w:pPr>
        <w:pStyle w:val="Normal"/>
        <w:spacing w:before="0" w:after="240"/>
        <w:ind w:firstLine="1440" w:end="0"/>
        <w:jc w:val="both"/>
        <w:rPr>
          <w:sz w:val="20"/>
        </w:rPr>
      </w:pPr>
      <w:r>
        <w:rPr>
          <w:sz w:val="20"/>
        </w:rPr>
        <w:t>(“Party B” or the “Trust”)</w:t>
      </w:r>
    </w:p>
    <w:p>
      <w:pPr>
        <w:pStyle w:val="Normal"/>
        <w:spacing w:before="0" w:after="240"/>
        <w:jc w:val="both"/>
        <w:rPr/>
      </w:pPr>
      <w:r>
        <w:rPr>
          <w:sz w:val="20"/>
        </w:rPr>
        <w:t>and</w:t>
        <w:tab/>
        <w:tab/>
      </w:r>
      <w:r>
        <w:rPr>
          <w:b/>
          <w:sz w:val="20"/>
        </w:rPr>
        <w:t>FINANCIAL SECURITY ASSURANCE INC</w:t>
      </w:r>
      <w:r>
        <w:rPr>
          <w:sz w:val="20"/>
        </w:rPr>
        <w:t>. (“FSA”)</w:t>
      </w:r>
    </w:p>
    <w:p>
      <w:pPr>
        <w:pStyle w:val="CG-SingleSp"/>
        <w:jc w:val="both"/>
        <w:rPr>
          <w:sz w:val="20"/>
        </w:rPr>
      </w:pPr>
      <w:r>
        <w:rPr>
          <w:b/>
          <w:sz w:val="20"/>
        </w:rPr>
        <w:t>Part 1.</w:t>
      </w:r>
      <w:r>
        <w:rPr>
          <w:sz w:val="20"/>
        </w:rPr>
        <w:tab/>
      </w:r>
      <w:r>
        <w:rPr>
          <w:b/>
          <w:sz w:val="20"/>
          <w:u w:val="single"/>
        </w:rPr>
        <w:t>Termination Provisions</w:t>
      </w:r>
      <w:r>
        <w:fldChar w:fldCharType="begin"/>
      </w:r>
      <w:r>
        <w:rPr/>
        <w:instrText xml:space="preserve"> TC "Part 1.  Termination Provisions" \l 1 </w:instrText>
      </w:r>
      <w:r>
        <w:rPr/>
        <w:fldChar w:fldCharType="separate"/>
      </w:r>
      <w:r>
        <w:rPr/>
      </w:r>
      <w:r>
        <w:rPr/>
        <w:fldChar w:fldCharType="end"/>
      </w:r>
    </w:p>
    <w:p>
      <w:pPr>
        <w:pStyle w:val="Normal"/>
        <w:numPr>
          <w:ilvl w:val="0"/>
          <w:numId w:val="15"/>
        </w:numPr>
        <w:spacing w:before="0" w:after="240"/>
        <w:jc w:val="both"/>
        <w:rPr>
          <w:sz w:val="20"/>
        </w:rPr>
      </w:pPr>
      <w:r>
        <w:rPr>
          <w:b/>
          <w:sz w:val="20"/>
        </w:rPr>
        <w:t>“</w:t>
      </w:r>
      <w:r>
        <w:rPr>
          <w:b/>
          <w:sz w:val="20"/>
        </w:rPr>
        <w:t>Specified Entity</w:t>
      </w:r>
      <w:r>
        <w:fldChar w:fldCharType="begin"/>
      </w:r>
      <w:r>
        <w:rPr/>
        <w:instrText xml:space="preserve"> TC "Specified Entity" \l 1 </w:instrText>
      </w:r>
      <w:r>
        <w:rPr/>
        <w:fldChar w:fldCharType="separate"/>
      </w:r>
      <w:r>
        <w:rPr/>
      </w:r>
      <w:r>
        <w:rPr/>
        <w:fldChar w:fldCharType="end"/>
      </w:r>
      <w:r>
        <w:rPr>
          <w:b/>
          <w:sz w:val="20"/>
        </w:rPr>
        <w:t>“</w:t>
      </w:r>
      <w:r>
        <w:rPr>
          <w:sz w:val="20"/>
        </w:rPr>
        <w:t xml:space="preserve"> shall not apply in relation to either Party A or Party B.</w:t>
      </w:r>
    </w:p>
    <w:p>
      <w:pPr>
        <w:pStyle w:val="Normal"/>
        <w:numPr>
          <w:ilvl w:val="0"/>
          <w:numId w:val="15"/>
        </w:numPr>
        <w:spacing w:before="0" w:after="240"/>
        <w:jc w:val="both"/>
        <w:rPr>
          <w:sz w:val="20"/>
        </w:rPr>
      </w:pPr>
      <w:r>
        <w:rPr>
          <w:sz w:val="20"/>
        </w:rPr>
        <w:t>The “</w:t>
      </w:r>
      <w:r>
        <w:rPr>
          <w:b/>
          <w:bCs/>
          <w:sz w:val="20"/>
        </w:rPr>
        <w:t>Failure to Pay or Deliver</w:t>
      </w:r>
      <w:r>
        <w:rPr>
          <w:sz w:val="20"/>
        </w:rPr>
        <w:t xml:space="preserve">” provision of Section 5(a)(i) </w:t>
      </w:r>
      <w:r>
        <w:rPr>
          <w:b/>
          <w:bCs/>
          <w:sz w:val="20"/>
        </w:rPr>
        <w:t>will apply</w:t>
      </w:r>
      <w:r>
        <w:rPr>
          <w:sz w:val="20"/>
        </w:rPr>
        <w:t xml:space="preserve"> </w:t>
      </w:r>
      <w:r>
        <w:rPr>
          <w:b/>
          <w:bCs/>
          <w:sz w:val="20"/>
        </w:rPr>
        <w:t>to Party A</w:t>
      </w:r>
      <w:r>
        <w:rPr>
          <w:sz w:val="20"/>
        </w:rPr>
        <w:t xml:space="preserve"> and will not apply to Party B.</w:t>
      </w:r>
    </w:p>
    <w:p>
      <w:pPr>
        <w:pStyle w:val="Normal"/>
        <w:numPr>
          <w:ilvl w:val="0"/>
          <w:numId w:val="15"/>
        </w:numPr>
        <w:spacing w:before="0" w:after="240"/>
        <w:jc w:val="both"/>
        <w:rPr>
          <w:sz w:val="20"/>
        </w:rPr>
      </w:pPr>
      <w:r>
        <w:rPr>
          <w:sz w:val="20"/>
        </w:rPr>
        <w:t>The “</w:t>
      </w:r>
      <w:r>
        <w:rPr>
          <w:b/>
          <w:bCs/>
          <w:sz w:val="20"/>
        </w:rPr>
        <w:t>Breach of Agreement</w:t>
      </w:r>
      <w:r>
        <w:rPr>
          <w:sz w:val="20"/>
        </w:rPr>
        <w:t>” provision of Section 5(a)(ii) will not apply to Party A and will not apply to Party B or to any Credit Support Provider of the parties.</w:t>
      </w:r>
    </w:p>
    <w:p>
      <w:pPr>
        <w:pStyle w:val="Normal"/>
        <w:numPr>
          <w:ilvl w:val="0"/>
          <w:numId w:val="15"/>
        </w:numPr>
        <w:spacing w:before="0" w:after="240"/>
        <w:jc w:val="both"/>
        <w:rPr>
          <w:sz w:val="20"/>
        </w:rPr>
      </w:pPr>
      <w:r>
        <w:rPr>
          <w:sz w:val="20"/>
        </w:rPr>
        <w:t>The “</w:t>
      </w:r>
      <w:r>
        <w:rPr>
          <w:b/>
          <w:bCs/>
          <w:sz w:val="20"/>
        </w:rPr>
        <w:t>Credit Support Default</w:t>
      </w:r>
      <w:r>
        <w:rPr>
          <w:sz w:val="20"/>
        </w:rPr>
        <w:t xml:space="preserve">” provision of Section 5(a)(ii) will not apply to Party A and will not apply to Party B but </w:t>
      </w:r>
      <w:r>
        <w:rPr>
          <w:b/>
          <w:bCs/>
          <w:sz w:val="20"/>
        </w:rPr>
        <w:t>will apply to the Credit Support Provider of  Party B</w:t>
      </w:r>
      <w:r>
        <w:rPr>
          <w:sz w:val="20"/>
        </w:rPr>
        <w:t xml:space="preserve"> provided that that subsections (1), (2) and (3) shall be deleted in their entirety and replaced by the following:</w:t>
      </w:r>
    </w:p>
    <w:p>
      <w:pPr>
        <w:pStyle w:val="Normal"/>
        <w:numPr>
          <w:ilvl w:val="0"/>
          <w:numId w:val="22"/>
        </w:numPr>
        <w:spacing w:before="0" w:after="240"/>
        <w:jc w:val="both"/>
        <w:rPr>
          <w:sz w:val="20"/>
        </w:rPr>
      </w:pPr>
      <w:r>
        <w:rPr>
          <w:sz w:val="20"/>
        </w:rPr>
        <w:t xml:space="preserve">Party B’s Credit Support Provider fails to make a payment required to be made under the Policy in accordance with its terms; </w:t>
      </w:r>
    </w:p>
    <w:p>
      <w:pPr>
        <w:pStyle w:val="Normal"/>
        <w:numPr>
          <w:ilvl w:val="0"/>
          <w:numId w:val="22"/>
        </w:numPr>
        <w:spacing w:before="0" w:after="240"/>
        <w:jc w:val="both"/>
        <w:rPr>
          <w:sz w:val="20"/>
        </w:rPr>
      </w:pPr>
      <w:r>
        <w:rPr>
          <w:sz w:val="20"/>
        </w:rPr>
        <w:t>Party B’s Credit Support Provider (A) files any petition or commences any case or proceeding under any provision or chapter of the federal Bankruptcy Code, Title 11 of the United States Code, as amended (the “</w:t>
      </w:r>
      <w:r>
        <w:rPr>
          <w:b/>
          <w:bCs/>
          <w:sz w:val="20"/>
        </w:rPr>
        <w:t>Bankruptcy Code</w:t>
      </w:r>
      <w:r>
        <w:rPr>
          <w:sz w:val="20"/>
        </w:rPr>
        <w:t>”) or any other similar federal or state law relating to insolvency, bankruptcy, rehabilitation, liquidation or reorganization, (B) makes a general assignment for the benefit of its creditors, or (C) has an order for relief entered against it under the Bankruptcy Code or any other similar federal or state law relating to insolvency, bankruptcy, rehabilitation, liquidation or reorganization which is final and non-appealable; or</w:t>
      </w:r>
    </w:p>
    <w:p>
      <w:pPr>
        <w:pStyle w:val="Normal"/>
        <w:numPr>
          <w:ilvl w:val="0"/>
          <w:numId w:val="22"/>
        </w:numPr>
        <w:spacing w:before="0" w:after="240"/>
        <w:jc w:val="both"/>
        <w:rPr>
          <w:sz w:val="20"/>
        </w:rPr>
      </w:pPr>
      <w:r>
        <w:rPr>
          <w:sz w:val="20"/>
        </w:rPr>
        <w:t>a court of competent jurisdiction, the New York Department of Insurance or other competent regulatory authority enters a final and non-appealable order, judgment or decree (1) appointing a custodian, trustee, agent or receiver in respect of Party B’s Credit Support Provider or for all or any material portion of its property or (2) authorizing the taking of possession by a custodian, trustee, agent or receiver of Party B’s Credit Support Provider (or the taking of possession of all or any material portion of the property of Party B’s Credit Support Provider).</w:t>
      </w:r>
    </w:p>
    <w:p>
      <w:pPr>
        <w:pStyle w:val="Normal"/>
        <w:numPr>
          <w:ilvl w:val="0"/>
          <w:numId w:val="24"/>
        </w:numPr>
        <w:spacing w:before="0" w:after="240"/>
        <w:jc w:val="both"/>
        <w:rPr>
          <w:sz w:val="20"/>
        </w:rPr>
      </w:pPr>
      <w:r>
        <w:rPr>
          <w:sz w:val="20"/>
        </w:rPr>
        <w:t>The “</w:t>
      </w:r>
      <w:r>
        <w:rPr>
          <w:b/>
          <w:bCs/>
          <w:sz w:val="20"/>
        </w:rPr>
        <w:t>Misrepresentation</w:t>
      </w:r>
      <w:r>
        <w:rPr>
          <w:sz w:val="20"/>
        </w:rPr>
        <w:t>” provision of Section 5(a)(iv) will not apply to Party A and will not apply to Party B or to any Credit Support Provider of the parties.</w:t>
      </w:r>
    </w:p>
    <w:p>
      <w:pPr>
        <w:pStyle w:val="Normal"/>
        <w:numPr>
          <w:ilvl w:val="0"/>
          <w:numId w:val="24"/>
        </w:numPr>
        <w:spacing w:before="0" w:after="240"/>
        <w:jc w:val="both"/>
        <w:rPr>
          <w:sz w:val="20"/>
        </w:rPr>
      </w:pPr>
      <w:r>
        <w:rPr>
          <w:sz w:val="20"/>
        </w:rPr>
        <w:t xml:space="preserve">The </w:t>
      </w:r>
      <w:r>
        <w:rPr>
          <w:b/>
          <w:sz w:val="20"/>
        </w:rPr>
        <w:t>“Default under Specified Transaction”</w:t>
      </w:r>
      <w:r>
        <w:fldChar w:fldCharType="begin"/>
      </w:r>
      <w:r>
        <w:rPr/>
        <w:instrText xml:space="preserve"> TC "Cross Default" \l 1 </w:instrText>
      </w:r>
      <w:r>
        <w:rPr/>
        <w:fldChar w:fldCharType="separate"/>
      </w:r>
      <w:r>
        <w:rPr/>
      </w:r>
      <w:r>
        <w:rPr/>
        <w:fldChar w:fldCharType="end"/>
      </w:r>
      <w:r>
        <w:rPr>
          <w:sz w:val="20"/>
        </w:rPr>
        <w:t xml:space="preserve"> provision of Section 5(a)(v) will not apply to Party A or to Party B or any Credit Support Provider of the parties.</w:t>
      </w:r>
    </w:p>
    <w:p>
      <w:pPr>
        <w:pStyle w:val="Normal"/>
        <w:numPr>
          <w:ilvl w:val="0"/>
          <w:numId w:val="24"/>
        </w:numPr>
        <w:spacing w:before="0" w:after="240"/>
        <w:jc w:val="both"/>
        <w:rPr>
          <w:sz w:val="20"/>
        </w:rPr>
      </w:pPr>
      <w:r>
        <w:rPr>
          <w:sz w:val="20"/>
        </w:rPr>
        <w:t xml:space="preserve">The </w:t>
      </w:r>
      <w:r>
        <w:rPr>
          <w:b/>
          <w:sz w:val="20"/>
        </w:rPr>
        <w:t>“Cross Default</w:t>
      </w:r>
      <w:r>
        <w:fldChar w:fldCharType="begin"/>
      </w:r>
      <w:r>
        <w:rPr/>
        <w:instrText xml:space="preserve"> TC "Cross Default" \l 1 </w:instrText>
      </w:r>
      <w:r>
        <w:rPr/>
        <w:fldChar w:fldCharType="separate"/>
      </w:r>
      <w:r>
        <w:rPr/>
      </w:r>
      <w:r>
        <w:rPr/>
        <w:fldChar w:fldCharType="end"/>
      </w:r>
      <w:r>
        <w:rPr>
          <w:b/>
          <w:sz w:val="20"/>
        </w:rPr>
        <w:t>“</w:t>
      </w:r>
      <w:r>
        <w:rPr>
          <w:sz w:val="20"/>
        </w:rPr>
        <w:t xml:space="preserve"> provisions of Section 5(a)(vi) will not apply to Party A or to Party B, or to any Credit Support Provider of the parties.</w:t>
      </w:r>
    </w:p>
    <w:p>
      <w:pPr>
        <w:pStyle w:val="Normal"/>
        <w:numPr>
          <w:ilvl w:val="0"/>
          <w:numId w:val="24"/>
        </w:numPr>
        <w:spacing w:before="0" w:after="240"/>
        <w:jc w:val="both"/>
        <w:rPr>
          <w:sz w:val="20"/>
        </w:rPr>
      </w:pPr>
      <w:r>
        <w:rPr>
          <w:sz w:val="20"/>
        </w:rPr>
        <w:t xml:space="preserve">The </w:t>
      </w:r>
      <w:r>
        <w:rPr>
          <w:b/>
          <w:sz w:val="20"/>
        </w:rPr>
        <w:t>“Bankruptcy”</w:t>
      </w:r>
      <w:r>
        <w:fldChar w:fldCharType="begin"/>
      </w:r>
      <w:r>
        <w:rPr/>
        <w:instrText xml:space="preserve"> TC "Cross Default" \l 1 </w:instrText>
      </w:r>
      <w:r>
        <w:rPr/>
        <w:fldChar w:fldCharType="separate"/>
      </w:r>
      <w:r>
        <w:rPr/>
      </w:r>
      <w:r>
        <w:rPr/>
        <w:fldChar w:fldCharType="end"/>
      </w:r>
      <w:r>
        <w:rPr>
          <w:sz w:val="20"/>
        </w:rPr>
        <w:t xml:space="preserve"> provisions of Section 5(a)(vii) </w:t>
      </w:r>
      <w:r>
        <w:rPr>
          <w:b/>
          <w:bCs/>
          <w:sz w:val="20"/>
        </w:rPr>
        <w:t>will apply to Party A</w:t>
      </w:r>
      <w:r>
        <w:rPr>
          <w:sz w:val="20"/>
        </w:rPr>
        <w:t xml:space="preserve"> and will not apply to Party B or any Credit Support Provider of Party B.</w:t>
      </w:r>
    </w:p>
    <w:p>
      <w:pPr>
        <w:pStyle w:val="Normal"/>
        <w:numPr>
          <w:ilvl w:val="0"/>
          <w:numId w:val="24"/>
        </w:numPr>
        <w:spacing w:before="0" w:after="240"/>
        <w:jc w:val="both"/>
        <w:rPr>
          <w:sz w:val="20"/>
        </w:rPr>
      </w:pPr>
      <w:r>
        <w:rPr>
          <w:sz w:val="20"/>
        </w:rPr>
        <w:t xml:space="preserve">The </w:t>
      </w:r>
      <w:r>
        <w:rPr>
          <w:b/>
          <w:sz w:val="20"/>
        </w:rPr>
        <w:t>“Merger Without Assumption</w:t>
      </w:r>
      <w:r>
        <w:fldChar w:fldCharType="begin"/>
      </w:r>
      <w:r>
        <w:rPr/>
        <w:instrText xml:space="preserve"> TC "Credit Event Upon Merger" \l 1 </w:instrText>
      </w:r>
      <w:r>
        <w:rPr/>
        <w:fldChar w:fldCharType="separate"/>
      </w:r>
      <w:r>
        <w:rPr/>
      </w:r>
      <w:r>
        <w:rPr/>
        <w:fldChar w:fldCharType="end"/>
      </w:r>
      <w:r>
        <w:rPr>
          <w:b/>
          <w:sz w:val="20"/>
        </w:rPr>
        <w:t>”</w:t>
      </w:r>
      <w:r>
        <w:rPr>
          <w:sz w:val="20"/>
        </w:rPr>
        <w:t xml:space="preserve"> provisions of Section 5(a)(viii) will not apply to Party A or to Party B, or to any Credit Support Provider of the parties.</w:t>
      </w:r>
    </w:p>
    <w:p>
      <w:pPr>
        <w:pStyle w:val="Normal"/>
        <w:numPr>
          <w:ilvl w:val="0"/>
          <w:numId w:val="24"/>
        </w:numPr>
        <w:spacing w:before="0" w:after="240"/>
        <w:jc w:val="both"/>
        <w:rPr>
          <w:sz w:val="20"/>
        </w:rPr>
      </w:pPr>
      <w:r>
        <w:rPr>
          <w:sz w:val="20"/>
        </w:rPr>
        <w:t xml:space="preserve">The </w:t>
      </w:r>
      <w:r>
        <w:rPr>
          <w:b/>
          <w:sz w:val="20"/>
        </w:rPr>
        <w:t>“Credit Event Upon Merger</w:t>
      </w:r>
      <w:r>
        <w:fldChar w:fldCharType="begin"/>
      </w:r>
      <w:r>
        <w:rPr/>
        <w:instrText xml:space="preserve"> TC "Credit Event Upon Merger" \l 1 </w:instrText>
      </w:r>
      <w:r>
        <w:rPr/>
        <w:fldChar w:fldCharType="separate"/>
      </w:r>
      <w:r>
        <w:rPr/>
      </w:r>
      <w:r>
        <w:rPr/>
        <w:fldChar w:fldCharType="end"/>
      </w:r>
      <w:r>
        <w:rPr>
          <w:b/>
          <w:sz w:val="20"/>
        </w:rPr>
        <w:t>”</w:t>
      </w:r>
      <w:r>
        <w:rPr>
          <w:sz w:val="20"/>
        </w:rPr>
        <w:t xml:space="preserve"> provisions of Section 5(b)(iv) will not apply to Party A or to Party B or to any Credit Support Provider of the parties.</w:t>
      </w:r>
    </w:p>
    <w:p>
      <w:pPr>
        <w:pStyle w:val="Normal"/>
        <w:spacing w:before="0" w:after="240"/>
        <w:jc w:val="both"/>
        <w:rPr/>
      </w:pPr>
      <w:r>
        <w:rPr>
          <w:sz w:val="20"/>
        </w:rPr>
        <w:t>(k)</w:t>
        <w:tab/>
        <w:t xml:space="preserve">The </w:t>
      </w:r>
      <w:r>
        <w:rPr>
          <w:b/>
          <w:sz w:val="20"/>
        </w:rPr>
        <w:t>“Automatic Early Termination</w:t>
      </w:r>
      <w:r>
        <w:fldChar w:fldCharType="begin"/>
      </w:r>
      <w:r>
        <w:rPr/>
        <w:instrText xml:space="preserve"> TC "Automatic Early Termination" \l 1 </w:instrText>
      </w:r>
      <w:r>
        <w:rPr/>
        <w:fldChar w:fldCharType="separate"/>
      </w:r>
      <w:r>
        <w:rPr/>
      </w:r>
      <w:r>
        <w:rPr/>
        <w:fldChar w:fldCharType="end"/>
      </w:r>
      <w:r>
        <w:rPr>
          <w:b/>
          <w:sz w:val="20"/>
        </w:rPr>
        <w:t>“</w:t>
      </w:r>
      <w:r>
        <w:rPr>
          <w:sz w:val="20"/>
        </w:rPr>
        <w:t xml:space="preserve"> provision of Section 6(a) will not apply to Party A or to Party B.</w:t>
      </w:r>
    </w:p>
    <w:p>
      <w:pPr>
        <w:pStyle w:val="Normal"/>
        <w:numPr>
          <w:ilvl w:val="0"/>
          <w:numId w:val="13"/>
        </w:numPr>
        <w:spacing w:before="0" w:after="240"/>
        <w:jc w:val="both"/>
        <w:rPr>
          <w:sz w:val="20"/>
        </w:rPr>
      </w:pPr>
      <w:r>
        <w:rPr>
          <w:b/>
          <w:sz w:val="20"/>
        </w:rPr>
        <w:t>Payments on Early Termination.</w:t>
      </w:r>
      <w:r>
        <w:rPr>
          <w:sz w:val="20"/>
        </w:rPr>
        <w:t xml:space="preserve">  </w:t>
      </w:r>
      <w:r>
        <w:rPr>
          <w:b/>
          <w:sz w:val="20"/>
        </w:rPr>
        <w:t xml:space="preserve">“Loss” </w:t>
      </w:r>
      <w:r>
        <w:rPr>
          <w:sz w:val="20"/>
        </w:rPr>
        <w:t xml:space="preserve">and </w:t>
      </w:r>
      <w:r>
        <w:rPr>
          <w:b/>
          <w:sz w:val="20"/>
        </w:rPr>
        <w:t>“Second Method</w:t>
      </w:r>
      <w:r>
        <w:rPr>
          <w:sz w:val="20"/>
        </w:rPr>
        <w:t xml:space="preserve">” will apply for the purpose of Section 6(e) of this Agreement; </w:t>
      </w:r>
      <w:r>
        <w:rPr>
          <w:sz w:val="20"/>
          <w:u w:val="single"/>
        </w:rPr>
        <w:t>provided</w:t>
      </w:r>
      <w:r>
        <w:rPr>
          <w:sz w:val="20"/>
        </w:rPr>
        <w:t xml:space="preserve">, </w:t>
      </w:r>
      <w:r>
        <w:rPr>
          <w:sz w:val="20"/>
          <w:u w:val="single"/>
        </w:rPr>
        <w:t>however</w:t>
      </w:r>
      <w:r>
        <w:rPr>
          <w:sz w:val="20"/>
        </w:rPr>
        <w:t xml:space="preserve">, that </w:t>
      </w:r>
    </w:p>
    <w:p>
      <w:pPr>
        <w:pStyle w:val="Normal"/>
        <w:spacing w:before="0" w:after="240"/>
        <w:ind w:hanging="720" w:start="720" w:end="0"/>
        <w:jc w:val="both"/>
        <w:rPr/>
      </w:pPr>
      <w:r>
        <w:rPr>
          <w:sz w:val="20"/>
        </w:rPr>
        <w:tab/>
        <w:tab/>
        <w:t>(a)</w:t>
        <w:tab/>
        <w:t xml:space="preserve">Section 6(e) shall apply only where an Early Termination Date is designated by Party A as a result of a </w:t>
      </w:r>
      <w:r>
        <w:rPr>
          <w:b/>
          <w:bCs/>
          <w:i/>
          <w:iCs/>
          <w:sz w:val="20"/>
        </w:rPr>
        <w:t xml:space="preserve">Credit Support Default </w:t>
      </w:r>
      <w:r>
        <w:rPr>
          <w:sz w:val="20"/>
        </w:rPr>
        <w:t xml:space="preserve">described in Section 5(a)(iii) or by Party B as a result of an </w:t>
      </w:r>
      <w:r>
        <w:rPr>
          <w:b/>
          <w:bCs/>
          <w:sz w:val="20"/>
        </w:rPr>
        <w:t xml:space="preserve">Illegality </w:t>
      </w:r>
      <w:r>
        <w:rPr>
          <w:sz w:val="20"/>
        </w:rPr>
        <w:t>described in Section 5(b)(i).</w:t>
      </w:r>
    </w:p>
    <w:p>
      <w:pPr>
        <w:pStyle w:val="Normal"/>
        <w:spacing w:before="0" w:after="240"/>
        <w:ind w:start="720" w:end="0"/>
        <w:jc w:val="both"/>
        <w:rPr/>
      </w:pPr>
      <w:r>
        <w:rPr>
          <w:sz w:val="20"/>
        </w:rPr>
        <w:tab/>
        <w:tab/>
        <w:t xml:space="preserve">(b) with respect to an Early Termination Date designated as a result of </w:t>
      </w:r>
      <w:r>
        <w:rPr>
          <w:b/>
          <w:bCs/>
          <w:sz w:val="20"/>
        </w:rPr>
        <w:t>an Event of Default with respect to Party A described in Section 5(a)(i) (</w:t>
      </w:r>
      <w:r>
        <w:rPr>
          <w:b/>
          <w:bCs/>
          <w:i/>
          <w:iCs/>
          <w:sz w:val="20"/>
        </w:rPr>
        <w:t>Failure to Pay or Deliver</w:t>
      </w:r>
      <w:r>
        <w:rPr>
          <w:b/>
          <w:bCs/>
          <w:sz w:val="20"/>
        </w:rPr>
        <w:t>),</w:t>
      </w:r>
      <w:r>
        <w:rPr>
          <w:sz w:val="20"/>
        </w:rPr>
        <w:t xml:space="preserve">  (a) Section 2(a)(iii) of the Agreement shall not apply with respect to the Credit Swap Transaction; (b) Section 6(c)(ii) of the Agreement shall not apply with respect to the Credit Swap Transaction; (c) the Credit Swap Transaction shall not constitute a ‘Terminated Transaction’ for the purposes of Section 6(e) of the Agreement; and (d) (i) Party A’s only continuing scheduled payment obligation shall be to pay to Party B the Accrued Fixed Payment Amount and the Makewhole Amount on the Early Termination Date and (ii) Party B’s only continuing scheduled payment obligations under the Credit Swap Transaction shall be in respect of any and all Cash Protection Amount(s) determined, or to be determined, in respect of Credit Event(s) which have occurred up to and including the Early Termination Date; </w:t>
      </w:r>
      <w:r>
        <w:rPr>
          <w:i/>
          <w:sz w:val="20"/>
        </w:rPr>
        <w:t>provided that</w:t>
      </w:r>
      <w:r>
        <w:rPr>
          <w:sz w:val="20"/>
        </w:rPr>
        <w:t xml:space="preserve"> each such Cash Protection Amount(s) shall only be payable if, and to the extent that, the relevant Event Determination Date has occurred on or prior to the fourteenth (14) calendar day after the Early Termination Date.; and</w:t>
      </w:r>
    </w:p>
    <w:p>
      <w:pPr>
        <w:pStyle w:val="Normal"/>
        <w:spacing w:before="0" w:after="240"/>
        <w:ind w:start="720" w:end="0"/>
        <w:jc w:val="both"/>
        <w:rPr/>
      </w:pPr>
      <w:r>
        <w:rPr>
          <w:sz w:val="20"/>
        </w:rPr>
        <w:tab/>
        <w:tab/>
        <w:t xml:space="preserve">(c) with respect to an Early Termination Date designated as a result of </w:t>
      </w:r>
      <w:r>
        <w:rPr>
          <w:b/>
          <w:bCs/>
          <w:sz w:val="20"/>
        </w:rPr>
        <w:t>an Event of Default with respect to Party A described in Section 5(a)(vii) (</w:t>
      </w:r>
      <w:r>
        <w:rPr>
          <w:b/>
          <w:bCs/>
          <w:i/>
          <w:iCs/>
          <w:sz w:val="20"/>
        </w:rPr>
        <w:t>Bankruptcy</w:t>
      </w:r>
      <w:r>
        <w:rPr>
          <w:b/>
          <w:bCs/>
          <w:sz w:val="20"/>
        </w:rPr>
        <w:t>)</w:t>
      </w:r>
      <w:r>
        <w:rPr>
          <w:sz w:val="20"/>
        </w:rPr>
        <w:t xml:space="preserve"> (b) above, </w:t>
      </w:r>
      <w:r>
        <w:rPr>
          <w:b/>
          <w:bCs/>
          <w:sz w:val="20"/>
        </w:rPr>
        <w:t>or any Termination Event</w:t>
      </w:r>
      <w:r>
        <w:rPr>
          <w:sz w:val="20"/>
        </w:rPr>
        <w:t xml:space="preserve"> described in Section 5(b)(i) </w:t>
      </w:r>
      <w:r>
        <w:rPr>
          <w:b/>
          <w:bCs/>
          <w:i/>
          <w:iCs/>
          <w:sz w:val="20"/>
        </w:rPr>
        <w:t xml:space="preserve">(Illegality) </w:t>
      </w:r>
      <w:r>
        <w:rPr>
          <w:sz w:val="20"/>
        </w:rPr>
        <w:t xml:space="preserve">(subject to Part 1 (l)(a) above and Part 1(p) below), Section 5(b)(ii) </w:t>
      </w:r>
      <w:r>
        <w:rPr>
          <w:b/>
          <w:bCs/>
          <w:i/>
          <w:iCs/>
          <w:sz w:val="20"/>
        </w:rPr>
        <w:t>(Tax Event)</w:t>
      </w:r>
      <w:r>
        <w:rPr>
          <w:sz w:val="20"/>
        </w:rPr>
        <w:t xml:space="preserve"> or Section 5(b)(iii) </w:t>
      </w:r>
      <w:r>
        <w:rPr>
          <w:b/>
          <w:bCs/>
          <w:i/>
          <w:iCs/>
          <w:sz w:val="20"/>
        </w:rPr>
        <w:t>(Tax Event Upon Merger)</w:t>
      </w:r>
      <w:r>
        <w:rPr>
          <w:sz w:val="20"/>
        </w:rPr>
        <w:t xml:space="preserve">  with respect to which Party A or Party B is the Affected Party, (a) Section 2(a)(iii) of the Agreement shall not apply with respect to the Credit Swap Transaction; (b) Section 6(c)(ii) of the Agreement shall not apply with respect to the Credit Swap Transaction; (c) the Credit Swap Transaction shall not constitute a ‘Terminated Transaction’ for the purposes of Section 6(e) of the Agreement; and (d) (i) Party A’s only continuing scheduled payment obligation shall pay to Party B the Accrued Fixed Payment Amount on the Early Termination Date and (ii) Party B’s only continuing scheduled payment obligations under the Credit Swap Transaction shall be in respect of any and all Cash Protection Amount(s) determined, or to be determined, in respect of Credit Event(s) which have occurred up to and including the Early Termination Date; </w:t>
      </w:r>
      <w:r>
        <w:rPr>
          <w:i/>
          <w:sz w:val="20"/>
        </w:rPr>
        <w:t>provided that</w:t>
      </w:r>
      <w:r>
        <w:rPr>
          <w:sz w:val="20"/>
        </w:rPr>
        <w:t xml:space="preserve"> each such Cash Protection Amount(s) shall only be payable if, and to the extent that, the relevant Event Determination Date has occurred on or prior to the fourteenth (14) calendar day after the Early Termination Date.</w:t>
      </w:r>
    </w:p>
    <w:p>
      <w:pPr>
        <w:pStyle w:val="Normal"/>
        <w:spacing w:before="0" w:after="240"/>
        <w:ind w:start="720" w:end="0"/>
        <w:jc w:val="both"/>
        <w:rPr>
          <w:sz w:val="20"/>
        </w:rPr>
      </w:pPr>
      <w:r>
        <w:rPr>
          <w:sz w:val="20"/>
        </w:rPr>
      </w:r>
    </w:p>
    <w:p>
      <w:pPr>
        <w:pStyle w:val="Normal"/>
        <w:spacing w:before="0" w:after="240"/>
        <w:ind w:hanging="720" w:start="720" w:end="0"/>
        <w:jc w:val="both"/>
        <w:rPr>
          <w:sz w:val="20"/>
        </w:rPr>
      </w:pPr>
      <w:r>
        <w:rPr>
          <w:sz w:val="20"/>
        </w:rPr>
        <w:tab/>
        <w:t xml:space="preserve">For the purposes of the foregoing and this Agreement, </w:t>
      </w:r>
    </w:p>
    <w:p>
      <w:pPr>
        <w:pStyle w:val="Normal"/>
        <w:spacing w:before="0" w:after="240"/>
        <w:ind w:start="720" w:end="0"/>
        <w:jc w:val="both"/>
        <w:rPr/>
      </w:pPr>
      <w:r>
        <w:rPr>
          <w:sz w:val="20"/>
        </w:rPr>
        <w:tab/>
        <w:tab/>
        <w:t>“</w:t>
      </w:r>
      <w:r>
        <w:rPr>
          <w:b/>
          <w:bCs/>
          <w:sz w:val="20"/>
        </w:rPr>
        <w:t>Accrued Fixed Payment Amount</w:t>
      </w:r>
      <w:r>
        <w:rPr>
          <w:sz w:val="20"/>
        </w:rPr>
        <w:t>” means, as of any Early Termination Date, the accrued and unpaid Fixed Amounts under the Credit Swap Transaction for the period from and including the Fixed Rate PayerPayment Date immediately preceding the Early Termination Date to but excluding the Early Termination Date.</w:t>
      </w:r>
    </w:p>
    <w:p>
      <w:pPr>
        <w:pStyle w:val="Normal"/>
        <w:spacing w:before="0" w:after="240"/>
        <w:ind w:start="720" w:end="0"/>
        <w:jc w:val="both"/>
        <w:rPr>
          <w:sz w:val="20"/>
        </w:rPr>
      </w:pPr>
      <w:r>
        <w:rPr>
          <w:sz w:val="20"/>
        </w:rPr>
        <w:tab/>
        <w:t>“</w:t>
      </w:r>
      <w:r>
        <w:rPr>
          <w:b/>
          <w:bCs/>
          <w:sz w:val="20"/>
        </w:rPr>
        <w:t>Makewhole Amount</w:t>
      </w:r>
      <w:r>
        <w:rPr>
          <w:sz w:val="20"/>
        </w:rPr>
        <w:t xml:space="preserve">” means </w:t>
      </w:r>
      <w:r>
        <w:rPr>
          <w:sz w:val="20"/>
          <w:lang w:val="en-GB"/>
        </w:rPr>
        <w:t xml:space="preserve">the present value of the Fixed Amounts (other than the Accrued Fixed Payment Amount) that would have been payable by Party A under the </w:t>
      </w:r>
      <w:r>
        <w:rPr>
          <w:sz w:val="20"/>
        </w:rPr>
        <w:t xml:space="preserve">Credit Swap Transaction </w:t>
      </w:r>
      <w:r>
        <w:rPr>
          <w:sz w:val="20"/>
          <w:lang w:val="en-GB"/>
        </w:rPr>
        <w:t>after the relevant Early Termination Date until (but excluding) the Fixed Rate Payer Payment Date falling on or about the Scheduled Termination Date of the Credit Swap Transaction , assuming for the purpose of such calculation a constant Fixed Rate Payer Calculation Amount at its value as of the Early Termination Date, discounting each Fixed Amount from the date on which it would have been received to the Early Termination Date at a rate equal to the value of “USD-ISDA-Swap Rate” as determined on the Early Termination Date for a Designated Maturity equal to the period from (and including) the Early Termination Date to (but excluding) the scheduled Fixed Rate Payer Payment Date.</w:t>
      </w:r>
    </w:p>
    <w:p>
      <w:pPr>
        <w:pStyle w:val="Normal"/>
        <w:spacing w:before="0" w:after="240"/>
        <w:ind w:start="720" w:end="0"/>
        <w:jc w:val="both"/>
        <w:rPr/>
      </w:pPr>
      <w:r>
        <w:rPr>
          <w:sz w:val="20"/>
        </w:rPr>
        <w:t>“</w:t>
      </w:r>
      <w:r>
        <w:rPr>
          <w:b/>
          <w:bCs/>
          <w:sz w:val="20"/>
        </w:rPr>
        <w:t>Credit Swap Transaction</w:t>
      </w:r>
      <w:r>
        <w:rPr>
          <w:sz w:val="20"/>
        </w:rPr>
        <w:t>” means the Transaction between Party A and Party B documented by a Confirmation dated 22 December 2000 with an Effective Date of 22 December 2000.</w:t>
      </w:r>
    </w:p>
    <w:p>
      <w:pPr>
        <w:pStyle w:val="Normal"/>
        <w:spacing w:before="0" w:after="240"/>
        <w:ind w:start="720" w:end="0"/>
        <w:jc w:val="both"/>
        <w:rPr/>
      </w:pPr>
      <w:r>
        <w:rPr>
          <w:b/>
          <w:sz w:val="20"/>
        </w:rPr>
        <w:t>“</w:t>
      </w:r>
      <w:r>
        <w:rPr>
          <w:b/>
          <w:sz w:val="20"/>
        </w:rPr>
        <w:t xml:space="preserve">Additional Termination Event” </w:t>
      </w:r>
      <w:r>
        <w:rPr>
          <w:sz w:val="20"/>
        </w:rPr>
        <w:t xml:space="preserve">will not apply.  </w:t>
      </w:r>
    </w:p>
    <w:p>
      <w:pPr>
        <w:pStyle w:val="Normal"/>
        <w:numPr>
          <w:ilvl w:val="0"/>
          <w:numId w:val="13"/>
        </w:numPr>
        <w:spacing w:before="0" w:after="240"/>
        <w:jc w:val="both"/>
        <w:rPr>
          <w:sz w:val="20"/>
        </w:rPr>
      </w:pPr>
      <w:r>
        <w:rPr>
          <w:b/>
          <w:sz w:val="20"/>
        </w:rPr>
        <w:t>“</w:t>
      </w:r>
      <w:r>
        <w:rPr>
          <w:b/>
          <w:sz w:val="20"/>
        </w:rPr>
        <w:t>Termination Currency</w:t>
      </w:r>
      <w:r>
        <w:fldChar w:fldCharType="begin"/>
      </w:r>
      <w:r>
        <w:rPr/>
        <w:instrText xml:space="preserve"> TC "Termination Currency" \l 1 </w:instrText>
      </w:r>
      <w:r>
        <w:rPr/>
        <w:fldChar w:fldCharType="separate"/>
      </w:r>
      <w:r>
        <w:rPr/>
      </w:r>
      <w:r>
        <w:rPr/>
        <w:fldChar w:fldCharType="end"/>
      </w:r>
      <w:r>
        <w:rPr>
          <w:b/>
          <w:sz w:val="20"/>
        </w:rPr>
        <w:t>“</w:t>
      </w:r>
      <w:r>
        <w:rPr>
          <w:sz w:val="20"/>
        </w:rPr>
        <w:t xml:space="preserve"> means United States Dollars.</w:t>
      </w:r>
    </w:p>
    <w:p>
      <w:pPr>
        <w:pStyle w:val="Normal"/>
        <w:numPr>
          <w:ilvl w:val="0"/>
          <w:numId w:val="13"/>
        </w:numPr>
        <w:spacing w:before="0" w:after="240"/>
        <w:jc w:val="both"/>
        <w:rPr>
          <w:sz w:val="20"/>
        </w:rPr>
      </w:pPr>
      <w:r>
        <w:rPr>
          <w:b/>
          <w:sz w:val="20"/>
        </w:rPr>
        <w:t>Gross Up To Avoid Tax Termination</w:t>
      </w:r>
      <w:r>
        <w:rPr>
          <w:sz w:val="20"/>
        </w:rPr>
        <w:t>.  Notwithstanding Section 6(b)(iv) of the Agreement, neither party may designate an Early Termination Date under the Agreement as a result of an event described in Section 5(b)(ii) (</w:t>
      </w:r>
      <w:r>
        <w:rPr>
          <w:b/>
          <w:bCs/>
          <w:i/>
          <w:iCs/>
          <w:sz w:val="20"/>
        </w:rPr>
        <w:t>Tax Event</w:t>
      </w:r>
      <w:r>
        <w:rPr>
          <w:sz w:val="20"/>
        </w:rPr>
        <w:t>) or Section 5(b)(iii) (</w:t>
      </w:r>
      <w:r>
        <w:rPr>
          <w:b/>
          <w:bCs/>
          <w:i/>
          <w:iCs/>
          <w:sz w:val="20"/>
        </w:rPr>
        <w:t>Tax Event Upon Merger</w:t>
      </w:r>
      <w:r>
        <w:rPr>
          <w:sz w:val="20"/>
        </w:rPr>
        <w:t>) of the Agreement without affording 15 days prior written notice to the other party.  If after receipt of such notice the party which is not the Affected Party or Burdened Party validly and irrevocably elects to accept payment net of, or make payments grossing up for, the Tax that gave rise to such Termination Event so as to remove the effect of such Tax on the payments made or received by the Affected Party or Burdened Party, (i) the relevant Termination Event shall be deemed not to have occurred; (ii) the Early Termination Date will not occur on the date so designated notwithstanding Section 6(c)(i) of the Agreement; and (iii) the parties scheduled payment obligations shall continue notwithstanding Section 6(c)(ii) of the Agreement.</w:t>
      </w:r>
    </w:p>
    <w:p>
      <w:pPr>
        <w:pStyle w:val="Normal"/>
        <w:numPr>
          <w:ilvl w:val="0"/>
          <w:numId w:val="13"/>
        </w:numPr>
        <w:jc w:val="both"/>
        <w:rPr>
          <w:b/>
          <w:bCs/>
          <w:sz w:val="20"/>
        </w:rPr>
      </w:pPr>
      <w:r>
        <w:rPr>
          <w:b/>
          <w:bCs/>
          <w:sz w:val="20"/>
        </w:rPr>
        <w:t xml:space="preserve">Transfer to Avoid Termination – Illegality. </w:t>
      </w:r>
    </w:p>
    <w:p>
      <w:pPr>
        <w:pStyle w:val="Normal"/>
        <w:ind w:hanging="720" w:start="720" w:end="0"/>
        <w:jc w:val="both"/>
        <w:rPr>
          <w:b/>
          <w:bCs/>
          <w:i/>
          <w:i/>
          <w:iCs/>
          <w:sz w:val="20"/>
        </w:rPr>
      </w:pPr>
      <w:r>
        <w:rPr>
          <w:b/>
          <w:bCs/>
          <w:i/>
          <w:iCs/>
          <w:sz w:val="20"/>
        </w:rPr>
      </w:r>
    </w:p>
    <w:p>
      <w:pPr>
        <w:pStyle w:val="Normal"/>
        <w:ind w:start="720" w:end="0"/>
        <w:jc w:val="both"/>
        <w:rPr/>
      </w:pPr>
      <w:r>
        <w:rPr>
          <w:i/>
          <w:iCs/>
          <w:sz w:val="20"/>
        </w:rPr>
        <w:t>(i) One Affected Party.</w:t>
      </w:r>
      <w:r>
        <w:rPr>
          <w:sz w:val="20"/>
        </w:rPr>
        <w:t xml:space="preserve">  Notwithstanding Section 6(b)(ii) and Section 6(b)(iv) if an Illegality under Section 5(b)(i)(2) occurs and there is only one Affected Party, the Affected Party will as a condition to its right to designate an Early Termination Date under </w:t>
      </w:r>
      <w:r>
        <w:rPr>
          <w:sz w:val="20"/>
          <w:lang w:val="en-GB"/>
        </w:rPr>
        <w:t>Section 6(b)(iv), use all reasonable efforts (which will not require such party to incur a loss, excluding immaterial, incidental expenses) to (a) procure that its Credit Support Provider transfer its obligations under the any Credit Support Document and/or (b) transfer all its rights and obligations under this Agreement in respect of the Affected Transactions, in each case within 20 days after it gives notice under Section 6(b)(i), to another of its Offices or Affiliates so that such Termination Event ceases to exist.</w:t>
      </w:r>
    </w:p>
    <w:p>
      <w:pPr>
        <w:pStyle w:val="BodyIndentB"/>
        <w:ind w:start="720" w:end="148"/>
        <w:rPr>
          <w:rFonts w:ascii="Times New Roman" w:hAnsi="Times New Roman" w:cs="Times New Roman"/>
          <w:lang w:val="en-GB"/>
        </w:rPr>
      </w:pPr>
      <w:r>
        <w:rPr>
          <w:rFonts w:cs="Times New Roman" w:ascii="Times New Roman" w:hAnsi="Times New Roman"/>
          <w:lang w:val="en-GB"/>
        </w:rPr>
        <w:t>If the Affected Party or the Credit Support Provider is not able to make such a transfer it will give notice to the other party to that effect within such 20 day period, whereupon the other party may effect a transfer of the Affected Transactions within 30 days after the notice is given under Section 6(b)(i).</w:t>
      </w:r>
    </w:p>
    <w:p>
      <w:pPr>
        <w:pStyle w:val="Normal"/>
        <w:spacing w:before="0" w:after="240"/>
        <w:ind w:start="720" w:end="0"/>
        <w:jc w:val="both"/>
        <w:rPr>
          <w:sz w:val="20"/>
          <w:lang w:val="en-GB"/>
        </w:rPr>
      </w:pPr>
      <w:r>
        <w:rPr>
          <w:sz w:val="20"/>
          <w:lang w:val="en-GB"/>
        </w:rPr>
        <w:t>Any such transfer by a party or Credit Support Provider under this Section 6(b)(ii) will be subject to and conditional upon the prior written consent of the other party, which consent will not be withheld if such other party's policies in effect at such time would permit it to enter into transactions with the transferee on the terms proposed.</w:t>
      </w:r>
    </w:p>
    <w:p>
      <w:pPr>
        <w:pStyle w:val="Normal"/>
        <w:spacing w:before="0" w:after="240"/>
        <w:ind w:start="720" w:end="0"/>
        <w:jc w:val="both"/>
        <w:rPr/>
      </w:pPr>
      <w:r>
        <w:rPr>
          <w:i/>
          <w:sz w:val="20"/>
          <w:lang w:val="en-GB"/>
        </w:rPr>
        <w:t>(ii) Two Affected Parties</w:t>
      </w:r>
      <w:r>
        <w:rPr>
          <w:sz w:val="20"/>
          <w:lang w:val="en-GB"/>
        </w:rPr>
        <w:t>.  If an Illegality under Section 5(b)(i)(2) occurs and there are two Affected Parties, each party will use all reasonable efforts to reach agreement within 30 days after notice thereof is given under Section 6(b)(i) on action to avoid that Termination Event.</w:t>
      </w:r>
    </w:p>
    <w:p>
      <w:pPr>
        <w:pStyle w:val="Normal"/>
        <w:spacing w:before="0" w:after="240"/>
        <w:ind w:hanging="720" w:start="720" w:end="0"/>
        <w:jc w:val="both"/>
        <w:rPr/>
      </w:pPr>
      <w:r>
        <w:rPr>
          <w:i/>
          <w:sz w:val="20"/>
          <w:lang w:val="en-GB"/>
        </w:rPr>
        <w:tab/>
      </w:r>
      <w:r>
        <w:rPr>
          <w:iCs/>
          <w:sz w:val="20"/>
          <w:lang w:val="en-GB"/>
        </w:rPr>
        <w:t>Accordingly Section 6(iv)(1) and Section 6(iv)(2) of the Agreement are hereby deleted in their entirety and replaced by the following:</w:t>
      </w:r>
    </w:p>
    <w:p>
      <w:pPr>
        <w:pStyle w:val="BodyIndentC"/>
        <w:ind w:start="1440" w:end="148"/>
        <w:rPr>
          <w:rFonts w:ascii="Times New Roman" w:hAnsi="Times New Roman" w:cs="Times New Roman"/>
          <w:lang w:val="en-GB"/>
        </w:rPr>
      </w:pPr>
      <w:r>
        <w:rPr>
          <w:rFonts w:cs="Times New Roman" w:ascii="Times New Roman" w:hAnsi="Times New Roman"/>
          <w:lang w:val="en-GB"/>
        </w:rPr>
        <w:t>“</w:t>
      </w:r>
      <w:r>
        <w:rPr>
          <w:rFonts w:cs="Times New Roman" w:ascii="Times New Roman" w:hAnsi="Times New Roman"/>
          <w:lang w:val="en-GB"/>
        </w:rPr>
        <w:t>(1)</w:t>
        <w:tab/>
        <w:t>a transfer under Section 6(b)(ii) or Part 1(n)(i) of the Schedule, or an agreement under Section 6(b)(iii) or Part 1(o) of the Schedule, as the case may be, has not been effected with respect to all Affected Transactions within 30 days after an Affected Party gives notice under Section 6(b)(i); or</w:t>
      </w:r>
    </w:p>
    <w:p>
      <w:pPr>
        <w:pStyle w:val="BodyIndentC"/>
        <w:spacing w:before="0" w:after="0"/>
        <w:ind w:start="1440" w:end="144"/>
        <w:rPr>
          <w:rFonts w:ascii="Times New Roman" w:hAnsi="Times New Roman" w:cs="Times New Roman"/>
          <w:lang w:val="en-GB"/>
        </w:rPr>
      </w:pPr>
      <w:r>
        <w:rPr>
          <w:rFonts w:cs="Times New Roman" w:ascii="Times New Roman" w:hAnsi="Times New Roman"/>
          <w:lang w:val="en-GB"/>
        </w:rPr>
      </w:r>
    </w:p>
    <w:p>
      <w:pPr>
        <w:pStyle w:val="Normal"/>
        <w:spacing w:before="0" w:after="240"/>
        <w:ind w:start="1440" w:end="0"/>
        <w:jc w:val="both"/>
        <w:rPr>
          <w:sz w:val="20"/>
          <w:lang w:val="en-GB"/>
        </w:rPr>
      </w:pPr>
      <w:r>
        <w:rPr>
          <w:sz w:val="20"/>
          <w:lang w:val="en-GB"/>
        </w:rPr>
        <w:t>(2)</w:t>
        <w:tab/>
        <w:t>a Credit Event Upon Merger or an Additional Termination Event occurs, or a Tax Event Upon Merger occurs and the Burdened Party is not the Affected Party, ”</w:t>
      </w:r>
    </w:p>
    <w:p>
      <w:pPr>
        <w:pStyle w:val="Normal"/>
        <w:numPr>
          <w:ilvl w:val="0"/>
          <w:numId w:val="13"/>
        </w:numPr>
        <w:spacing w:before="0" w:after="240"/>
        <w:jc w:val="both"/>
        <w:rPr>
          <w:sz w:val="20"/>
        </w:rPr>
      </w:pPr>
      <w:r>
        <w:rPr>
          <w:b/>
          <w:bCs/>
          <w:sz w:val="20"/>
        </w:rPr>
        <w:t>Failure to Pay and Illegality.</w:t>
      </w:r>
      <w:r>
        <w:rPr>
          <w:sz w:val="20"/>
        </w:rPr>
        <w:t xml:space="preserve">  Notwithstanding anything to the contrary contained in this agreement, including without limitation Section 5(c) (</w:t>
      </w:r>
      <w:r>
        <w:rPr>
          <w:b/>
          <w:bCs/>
          <w:i/>
          <w:iCs/>
          <w:sz w:val="20"/>
        </w:rPr>
        <w:t>Event of Default and Illegality</w:t>
      </w:r>
      <w:r>
        <w:rPr>
          <w:sz w:val="20"/>
        </w:rPr>
        <w:t>) in the event that the Credit Support Provider of Party B fails to make a payment under the Policy as a result of an Illegality, such failure to pay shall constitute a Credit Support Default under Section 5(a)(iii).</w:t>
      </w:r>
      <w:r>
        <w:br w:type="page"/>
      </w:r>
    </w:p>
    <w:p>
      <w:pPr>
        <w:pStyle w:val="Normal"/>
        <w:spacing w:before="0" w:after="240"/>
        <w:ind w:hanging="720" w:start="720" w:end="0"/>
        <w:jc w:val="both"/>
        <w:rPr>
          <w:sz w:val="20"/>
        </w:rPr>
      </w:pPr>
      <w:r>
        <w:rPr>
          <w:b/>
          <w:sz w:val="20"/>
        </w:rPr>
        <w:t>Part 2.</w:t>
      </w:r>
      <w:r>
        <w:rPr>
          <w:sz w:val="20"/>
        </w:rPr>
        <w:tab/>
      </w:r>
      <w:r>
        <w:rPr>
          <w:b/>
          <w:sz w:val="20"/>
          <w:u w:val="single"/>
        </w:rPr>
        <w:t>Tax Representations</w:t>
      </w:r>
      <w:r>
        <w:fldChar w:fldCharType="begin"/>
      </w:r>
      <w:r>
        <w:rPr/>
        <w:instrText xml:space="preserve"> TC "Part 2.  Tax Representations" \l 1 </w:instrText>
      </w:r>
      <w:r>
        <w:rPr/>
        <w:fldChar w:fldCharType="separate"/>
      </w:r>
      <w:r>
        <w:rPr/>
      </w:r>
      <w:r>
        <w:rPr/>
        <w:fldChar w:fldCharType="end"/>
      </w:r>
    </w:p>
    <w:p>
      <w:pPr>
        <w:pStyle w:val="CG-SingleSp"/>
        <w:jc w:val="both"/>
        <w:rPr>
          <w:sz w:val="20"/>
        </w:rPr>
      </w:pPr>
      <w:r>
        <w:rPr>
          <w:sz w:val="20"/>
        </w:rPr>
        <w:t>For the purpose of Section 3(e) of this Agreement, Party A and Party B will each make the following Payor Representation:</w:t>
      </w:r>
    </w:p>
    <w:p>
      <w:pPr>
        <w:pStyle w:val="CG-LeftInd05"/>
        <w:jc w:val="both"/>
        <w:rPr>
          <w:sz w:val="20"/>
        </w:rPr>
      </w:pPr>
      <w:r>
        <w:rPr>
          <w:sz w:val="20"/>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and the other party does not deliver a form of document under Section 4(a)(iii) by reason of material prejudice to its legal or commercial position.</w:t>
      </w:r>
    </w:p>
    <w:p>
      <w:pPr>
        <w:pStyle w:val="Normal"/>
        <w:spacing w:before="0" w:after="240"/>
        <w:ind w:start="720" w:end="0"/>
        <w:jc w:val="both"/>
        <w:rPr>
          <w:sz w:val="20"/>
        </w:rPr>
      </w:pPr>
      <w:r>
        <w:rPr>
          <w:sz w:val="20"/>
        </w:rPr>
        <w:t>There are no Payee Representations.</w:t>
      </w:r>
      <w:r>
        <w:br w:type="page"/>
      </w:r>
    </w:p>
    <w:p>
      <w:pPr>
        <w:pStyle w:val="Normal"/>
        <w:spacing w:before="0" w:after="240"/>
        <w:jc w:val="both"/>
        <w:rPr>
          <w:sz w:val="20"/>
        </w:rPr>
      </w:pPr>
      <w:r>
        <w:rPr>
          <w:b/>
          <w:sz w:val="20"/>
        </w:rPr>
        <w:t>Part 3.</w:t>
      </w:r>
      <w:r>
        <w:rPr>
          <w:sz w:val="20"/>
        </w:rPr>
        <w:tab/>
      </w:r>
      <w:r>
        <w:rPr>
          <w:b/>
          <w:sz w:val="20"/>
          <w:u w:val="single"/>
        </w:rPr>
        <w:t>Agreements to Deliver Documents</w:t>
      </w:r>
      <w:r>
        <w:fldChar w:fldCharType="begin"/>
      </w:r>
      <w:r>
        <w:rPr/>
        <w:instrText xml:space="preserve"> TC "Part 3. Agreements to Deliver Documents" \l 1 </w:instrText>
      </w:r>
      <w:r>
        <w:rPr/>
        <w:fldChar w:fldCharType="separate"/>
      </w:r>
      <w:r>
        <w:rPr/>
      </w:r>
      <w:r>
        <w:rPr/>
        <w:fldChar w:fldCharType="end"/>
      </w:r>
      <w:r>
        <w:rPr>
          <w:sz w:val="20"/>
          <w:u w:val="single"/>
        </w:rPr>
        <w:t>.</w:t>
      </w:r>
    </w:p>
    <w:p>
      <w:pPr>
        <w:pStyle w:val="CG-SingleSp"/>
        <w:jc w:val="both"/>
        <w:rPr>
          <w:sz w:val="20"/>
        </w:rPr>
      </w:pPr>
      <w:r>
        <w:rPr>
          <w:sz w:val="20"/>
        </w:rPr>
        <w:t>For the purpose of Sections 4(a)(i) and (ii) of this Agreement, each party agrees to deliver the following documents, as applicable:</w:t>
      </w:r>
    </w:p>
    <w:p>
      <w:pPr>
        <w:pStyle w:val="Normal"/>
        <w:jc w:val="both"/>
        <w:rPr>
          <w:sz w:val="20"/>
        </w:rPr>
      </w:pPr>
      <w:r>
        <w:rPr>
          <w:sz w:val="20"/>
        </w:rPr>
        <w:t>(a)</w:t>
        <w:tab/>
        <w:t>Tax forms, documents or certificates to be delivered are:</w:t>
      </w:r>
    </w:p>
    <w:p>
      <w:pPr>
        <w:pStyle w:val="Normal"/>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2273"/>
        <w:gridCol w:w="3613"/>
        <w:gridCol w:w="1845"/>
        <w:gridCol w:w="1845"/>
      </w:tblGrid>
      <w:tr>
        <w:trPr/>
        <w:tc>
          <w:tcPr>
            <w:tcW w:w="2273"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r>
              <w:rPr>
                <w:sz w:val="20"/>
              </w:rPr>
              <w:t>Party required to</w:t>
              <w:br/>
              <w:t>deliver document</w:t>
            </w:r>
          </w:p>
        </w:tc>
        <w:tc>
          <w:tcPr>
            <w:tcW w:w="3613"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r>
              <w:rPr>
                <w:sz w:val="20"/>
              </w:rPr>
              <w:t>Form/Document/</w:t>
              <w:br/>
              <w:t>Certificate</w:t>
            </w:r>
          </w:p>
        </w:tc>
        <w:tc>
          <w:tcPr>
            <w:tcW w:w="1845"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r>
              <w:rPr>
                <w:sz w:val="20"/>
              </w:rPr>
              <w:t>Date by which to be delivered</w:t>
            </w:r>
          </w:p>
        </w:tc>
        <w:tc>
          <w:tcPr>
            <w:tcW w:w="1845"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r>
              <w:rPr>
                <w:sz w:val="20"/>
              </w:rPr>
              <w:t>Covered by Section 3(d) Representation</w:t>
            </w:r>
          </w:p>
        </w:tc>
      </w:tr>
      <w:tr>
        <w:trPr/>
        <w:tc>
          <w:tcPr>
            <w:tcW w:w="2273"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r>
              <w:rPr>
                <w:sz w:val="20"/>
              </w:rPr>
              <w:t>Party A and Party B</w:t>
            </w:r>
          </w:p>
        </w:tc>
        <w:tc>
          <w:tcPr>
            <w:tcW w:w="3613"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r>
              <w:rPr>
                <w:sz w:val="20"/>
              </w:rPr>
              <w:t>Any form, document or certificate reasonably required by the other party to enable it to pay free of or at a reduced rate of withholding tax</w:t>
            </w:r>
          </w:p>
        </w:tc>
        <w:tc>
          <w:tcPr>
            <w:tcW w:w="1845"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r>
              <w:rPr>
                <w:sz w:val="20"/>
              </w:rPr>
              <w:t>As soon as practicable after written request is made</w:t>
            </w:r>
          </w:p>
        </w:tc>
        <w:tc>
          <w:tcPr>
            <w:tcW w:w="1845"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r>
              <w:rPr>
                <w:sz w:val="20"/>
              </w:rPr>
              <w:t>Yes</w:t>
            </w:r>
          </w:p>
        </w:tc>
      </w:tr>
    </w:tbl>
    <w:p>
      <w:pPr>
        <w:pStyle w:val="Normal"/>
        <w:jc w:val="both"/>
        <w:rPr>
          <w:sz w:val="20"/>
        </w:rPr>
      </w:pPr>
      <w:r>
        <w:rPr>
          <w:sz w:val="20"/>
        </w:rPr>
      </w:r>
    </w:p>
    <w:p>
      <w:pPr>
        <w:pStyle w:val="Normal"/>
        <w:jc w:val="both"/>
        <w:rPr>
          <w:sz w:val="20"/>
        </w:rPr>
      </w:pPr>
      <w:r>
        <w:rPr>
          <w:sz w:val="20"/>
        </w:rPr>
        <w:t>(b)</w:t>
        <w:tab/>
        <w:t>Other documents to be delivered are:</w:t>
      </w:r>
    </w:p>
    <w:p>
      <w:pPr>
        <w:pStyle w:val="Normal"/>
        <w:jc w:val="both"/>
        <w:rPr>
          <w:sz w:val="20"/>
        </w:rPr>
      </w:pPr>
      <w:r>
        <w:rPr>
          <w:sz w:val="20"/>
        </w:rPr>
      </w:r>
    </w:p>
    <w:tbl>
      <w:tblPr>
        <w:tblW w:w="9648" w:type="dxa"/>
        <w:jc w:val="start"/>
        <w:tblInd w:w="0" w:type="dxa"/>
        <w:tblLayout w:type="fixed"/>
        <w:tblCellMar>
          <w:top w:w="0" w:type="dxa"/>
          <w:start w:w="108" w:type="dxa"/>
          <w:bottom w:w="0" w:type="dxa"/>
          <w:end w:w="108" w:type="dxa"/>
        </w:tblCellMar>
      </w:tblPr>
      <w:tblGrid>
        <w:gridCol w:w="2160"/>
        <w:gridCol w:w="4032"/>
        <w:gridCol w:w="1728"/>
        <w:gridCol w:w="1728"/>
      </w:tblGrid>
      <w:tr>
        <w:trPr/>
        <w:tc>
          <w:tcPr>
            <w:tcW w:w="2160"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r>
              <w:rPr>
                <w:sz w:val="20"/>
              </w:rPr>
              <w:t>Party required to deliver document</w:t>
            </w:r>
          </w:p>
        </w:tc>
        <w:tc>
          <w:tcPr>
            <w:tcW w:w="4032"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r>
              <w:rPr>
                <w:sz w:val="20"/>
              </w:rPr>
              <w:t>Form/Document/</w:t>
              <w:br/>
              <w:t>Certificate</w:t>
            </w:r>
          </w:p>
        </w:tc>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r>
              <w:rPr>
                <w:sz w:val="20"/>
              </w:rPr>
              <w:t>Date by which to be delivered</w:t>
            </w:r>
          </w:p>
        </w:tc>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r>
              <w:rPr>
                <w:sz w:val="20"/>
              </w:rPr>
              <w:t>Covered by Section 3(d) Representation</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Party A/Party B</w:t>
            </w:r>
          </w:p>
        </w:tc>
        <w:tc>
          <w:tcPr>
            <w:tcW w:w="4032"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Certificate or other documents evidencing the capacity of the party to enter into this Agreement and Transaction hereunder and the authority of the person(s) executing this Agreement or a Confirmation, as the case may be.</w:t>
            </w:r>
          </w:p>
          <w:p>
            <w:pPr>
              <w:pStyle w:val="Normal"/>
              <w:jc w:val="both"/>
              <w:rPr>
                <w:sz w:val="20"/>
              </w:rPr>
            </w:pPr>
            <w:r>
              <w:rPr>
                <w:sz w:val="20"/>
              </w:rPr>
            </w:r>
          </w:p>
        </w:tc>
        <w:tc>
          <w:tcPr>
            <w:tcW w:w="1728" w:type="dxa"/>
            <w:tcBorders>
              <w:top w:val="single" w:sz="6" w:space="0" w:color="000000"/>
              <w:start w:val="single" w:sz="6" w:space="0" w:color="000000"/>
              <w:bottom w:val="single" w:sz="6" w:space="0" w:color="000000"/>
              <w:end w:val="single" w:sz="6" w:space="0" w:color="000000"/>
            </w:tcBorders>
          </w:tcPr>
          <w:p>
            <w:pPr>
              <w:pStyle w:val="CommentText"/>
              <w:rPr/>
            </w:pPr>
            <w:r>
              <w:rPr/>
              <w:t>On execution hereof</w:t>
            </w:r>
          </w:p>
        </w:tc>
        <w:tc>
          <w:tcPr>
            <w:tcW w:w="1728"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Yes</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r>
              <w:rPr>
                <w:sz w:val="20"/>
              </w:rPr>
              <w:t>Party A/Party B</w:t>
            </w:r>
          </w:p>
        </w:tc>
        <w:tc>
          <w:tcPr>
            <w:tcW w:w="4032"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r>
              <w:rPr>
                <w:sz w:val="20"/>
              </w:rPr>
              <w:t>Annual audited financial statements of its Credit Support Provider (and in the case of Party A, Enron Corp.) prepared in accordance with generally accepted accounting principles in the country in which the party is organized.</w:t>
            </w:r>
          </w:p>
        </w:tc>
        <w:tc>
          <w:tcPr>
            <w:tcW w:w="1728" w:type="dxa"/>
            <w:tcBorders>
              <w:top w:val="single" w:sz="6" w:space="0" w:color="000000"/>
              <w:start w:val="single" w:sz="6" w:space="0" w:color="000000"/>
              <w:bottom w:val="single" w:sz="6" w:space="0" w:color="000000"/>
              <w:end w:val="single" w:sz="6" w:space="0" w:color="000000"/>
            </w:tcBorders>
          </w:tcPr>
          <w:p>
            <w:pPr>
              <w:pStyle w:val="FootnoteText"/>
              <w:spacing w:before="0" w:after="240"/>
              <w:rPr/>
            </w:pPr>
            <w:r>
              <w:rPr/>
              <w:t>Promptly after request</w:t>
            </w:r>
          </w:p>
        </w:tc>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r>
              <w:rPr>
                <w:sz w:val="20"/>
              </w:rPr>
              <w:t>Yes</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440" w:leader="none"/>
              </w:tabs>
              <w:spacing w:before="0" w:after="120"/>
              <w:jc w:val="both"/>
              <w:rPr>
                <w:sz w:val="20"/>
              </w:rPr>
            </w:pPr>
            <w:r>
              <w:rPr>
                <w:sz w:val="20"/>
              </w:rPr>
              <w:t>Party A and Party B</w:t>
            </w:r>
          </w:p>
        </w:tc>
        <w:tc>
          <w:tcPr>
            <w:tcW w:w="403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440" w:leader="none"/>
              </w:tabs>
              <w:spacing w:before="0" w:after="120"/>
              <w:jc w:val="both"/>
              <w:rPr>
                <w:sz w:val="20"/>
              </w:rPr>
            </w:pPr>
            <w:r>
              <w:rPr>
                <w:sz w:val="20"/>
              </w:rPr>
              <w:t>Any applicable Credit Support Document</w:t>
            </w:r>
          </w:p>
        </w:tc>
        <w:tc>
          <w:tcPr>
            <w:tcW w:w="1728" w:type="dxa"/>
            <w:tcBorders>
              <w:top w:val="single" w:sz="6" w:space="0" w:color="000000"/>
              <w:start w:val="single" w:sz="6" w:space="0" w:color="000000"/>
              <w:bottom w:val="single" w:sz="6" w:space="0" w:color="000000"/>
              <w:end w:val="single" w:sz="6" w:space="0" w:color="000000"/>
            </w:tcBorders>
          </w:tcPr>
          <w:p>
            <w:pPr>
              <w:pStyle w:val="FootnoteText"/>
              <w:tabs>
                <w:tab w:val="clear" w:pos="720"/>
                <w:tab w:val="left" w:pos="900" w:leader="none"/>
                <w:tab w:val="left" w:pos="1440" w:leader="none"/>
              </w:tabs>
              <w:spacing w:before="0" w:after="120"/>
              <w:rPr/>
            </w:pPr>
            <w:r>
              <w:rPr/>
              <w:t>On or before execution of this Agreement</w:t>
            </w:r>
          </w:p>
        </w:tc>
        <w:tc>
          <w:tcPr>
            <w:tcW w:w="17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440" w:leader="none"/>
              </w:tabs>
              <w:spacing w:before="0" w:after="120"/>
              <w:jc w:val="both"/>
              <w:rPr>
                <w:sz w:val="20"/>
              </w:rPr>
            </w:pPr>
            <w:r>
              <w:rPr>
                <w:sz w:val="20"/>
              </w:rPr>
              <w:t>Yes</w:t>
            </w:r>
          </w:p>
        </w:tc>
      </w:tr>
      <w:tr>
        <w:trPr/>
        <w:tc>
          <w:tcPr>
            <w:tcW w:w="2160" w:type="dxa"/>
            <w:tcBorders>
              <w:top w:val="single" w:sz="6" w:space="0" w:color="000000"/>
              <w:start w:val="single" w:sz="6" w:space="0" w:color="000000"/>
              <w:end w:val="single" w:sz="6" w:space="0" w:color="000000"/>
            </w:tcBorders>
          </w:tcPr>
          <w:p>
            <w:pPr>
              <w:pStyle w:val="Normal"/>
              <w:spacing w:before="0" w:after="240"/>
              <w:jc w:val="both"/>
              <w:rPr>
                <w:sz w:val="20"/>
              </w:rPr>
            </w:pPr>
            <w:r>
              <w:rPr>
                <w:sz w:val="20"/>
              </w:rPr>
              <w:t>Party A</w:t>
            </w:r>
          </w:p>
        </w:tc>
        <w:tc>
          <w:tcPr>
            <w:tcW w:w="4032" w:type="dxa"/>
            <w:tcBorders>
              <w:top w:val="single" w:sz="6" w:space="0" w:color="000000"/>
              <w:start w:val="single" w:sz="6" w:space="0" w:color="000000"/>
              <w:end w:val="single" w:sz="6" w:space="0" w:color="000000"/>
            </w:tcBorders>
          </w:tcPr>
          <w:p>
            <w:pPr>
              <w:pStyle w:val="Normal"/>
              <w:spacing w:before="0" w:after="240"/>
              <w:jc w:val="both"/>
              <w:rPr>
                <w:sz w:val="20"/>
              </w:rPr>
            </w:pPr>
            <w:r>
              <w:rPr>
                <w:sz w:val="20"/>
              </w:rPr>
              <w:t>Opinion of in-house counsel in form and substance satisfactory to Party B.</w:t>
            </w:r>
          </w:p>
        </w:tc>
        <w:tc>
          <w:tcPr>
            <w:tcW w:w="1728" w:type="dxa"/>
            <w:tcBorders>
              <w:top w:val="single" w:sz="6" w:space="0" w:color="000000"/>
              <w:start w:val="single" w:sz="6" w:space="0" w:color="000000"/>
              <w:end w:val="single" w:sz="6" w:space="0" w:color="000000"/>
            </w:tcBorders>
          </w:tcPr>
          <w:p>
            <w:pPr>
              <w:pStyle w:val="Normal"/>
              <w:spacing w:before="0" w:after="240"/>
              <w:jc w:val="both"/>
              <w:rPr>
                <w:sz w:val="20"/>
              </w:rPr>
            </w:pPr>
            <w:r>
              <w:rPr>
                <w:sz w:val="20"/>
              </w:rPr>
              <w:t>Within 30 days of execution</w:t>
            </w:r>
          </w:p>
        </w:tc>
        <w:tc>
          <w:tcPr>
            <w:tcW w:w="1728" w:type="dxa"/>
            <w:tcBorders>
              <w:top w:val="single" w:sz="6" w:space="0" w:color="000000"/>
              <w:start w:val="single" w:sz="6" w:space="0" w:color="000000"/>
              <w:end w:val="single" w:sz="6" w:space="0" w:color="000000"/>
            </w:tcBorders>
          </w:tcPr>
          <w:p>
            <w:pPr>
              <w:pStyle w:val="Normal"/>
              <w:spacing w:before="0" w:after="240"/>
              <w:jc w:val="both"/>
              <w:rPr>
                <w:sz w:val="20"/>
              </w:rPr>
            </w:pPr>
            <w:r>
              <w:rPr>
                <w:sz w:val="20"/>
              </w:rPr>
              <w:t>No</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r>
              <w:rPr>
                <w:sz w:val="20"/>
              </w:rPr>
              <w:t>Party B</w:t>
            </w:r>
          </w:p>
        </w:tc>
        <w:tc>
          <w:tcPr>
            <w:tcW w:w="4032"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r>
              <w:rPr>
                <w:sz w:val="20"/>
              </w:rPr>
              <w:t>Opinion of in-house counsel of Party B’s Credit Support Provider regarding Party B’s Credit Support Document in form and substance satisfactory to Party A.</w:t>
            </w:r>
          </w:p>
        </w:tc>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r>
              <w:rPr>
                <w:sz w:val="20"/>
              </w:rPr>
              <w:t>Within 30 days of execution</w:t>
            </w:r>
          </w:p>
        </w:tc>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r>
              <w:rPr>
                <w:sz w:val="20"/>
              </w:rPr>
              <w:t>No</w:t>
            </w:r>
          </w:p>
        </w:tc>
      </w:tr>
    </w:tbl>
    <w:p>
      <w:pPr>
        <w:pStyle w:val="Normal"/>
        <w:jc w:val="both"/>
        <w:rPr>
          <w:sz w:val="20"/>
        </w:rPr>
      </w:pPr>
      <w:r>
        <w:rPr>
          <w:sz w:val="20"/>
        </w:rPr>
      </w:r>
      <w:r>
        <w:br w:type="page"/>
      </w:r>
    </w:p>
    <w:p>
      <w:pPr>
        <w:pStyle w:val="Normal"/>
        <w:spacing w:before="0" w:after="240"/>
        <w:jc w:val="both"/>
        <w:rPr>
          <w:sz w:val="20"/>
        </w:rPr>
      </w:pPr>
      <w:r>
        <w:rPr>
          <w:b/>
          <w:sz w:val="20"/>
        </w:rPr>
        <w:t>Part 4.</w:t>
      </w:r>
      <w:r>
        <w:rPr>
          <w:sz w:val="20"/>
        </w:rPr>
        <w:tab/>
      </w:r>
      <w:r>
        <w:rPr>
          <w:b/>
          <w:sz w:val="20"/>
          <w:u w:val="single"/>
        </w:rPr>
        <w:t>Miscellaneous</w:t>
      </w:r>
      <w:r>
        <w:fldChar w:fldCharType="begin"/>
      </w:r>
      <w:r>
        <w:rPr/>
        <w:instrText xml:space="preserve"> TC "Part 4. Miscellaneous" \l 1 </w:instrText>
      </w:r>
      <w:r>
        <w:rPr/>
        <w:fldChar w:fldCharType="separate"/>
      </w:r>
      <w:r>
        <w:rPr/>
      </w:r>
      <w:r>
        <w:rPr/>
        <w:fldChar w:fldCharType="end"/>
      </w:r>
      <w:r>
        <w:rPr>
          <w:sz w:val="20"/>
          <w:u w:val="single"/>
        </w:rPr>
        <w:t>.</w:t>
      </w:r>
    </w:p>
    <w:p>
      <w:pPr>
        <w:pStyle w:val="Normal"/>
        <w:spacing w:before="0" w:after="240"/>
        <w:ind w:hanging="720" w:start="720" w:end="0"/>
        <w:jc w:val="both"/>
        <w:rPr/>
      </w:pPr>
      <w:r>
        <w:rPr>
          <w:sz w:val="20"/>
        </w:rPr>
        <w:t>(a)</w:t>
        <w:tab/>
      </w:r>
      <w:r>
        <w:rPr>
          <w:b/>
          <w:sz w:val="20"/>
        </w:rPr>
        <w:t>Addresses for Notices</w:t>
      </w:r>
      <w:r>
        <w:fldChar w:fldCharType="begin"/>
      </w:r>
      <w:r>
        <w:rPr/>
        <w:instrText xml:space="preserve"> TC "Addresses for Notices" \l 1 </w:instrText>
      </w:r>
      <w:r>
        <w:rPr/>
        <w:fldChar w:fldCharType="separate"/>
      </w:r>
      <w:r>
        <w:rPr/>
      </w:r>
      <w:r>
        <w:rPr/>
        <w:fldChar w:fldCharType="end"/>
      </w:r>
      <w:r>
        <w:rPr>
          <w:sz w:val="20"/>
        </w:rPr>
        <w:t>.  For the purpose of Section 12(a) of this Agreement:</w:t>
      </w:r>
    </w:p>
    <w:p>
      <w:pPr>
        <w:pStyle w:val="Normal"/>
        <w:spacing w:before="0" w:after="240"/>
        <w:ind w:start="720" w:end="0"/>
        <w:jc w:val="both"/>
        <w:rPr>
          <w:sz w:val="20"/>
        </w:rPr>
      </w:pPr>
      <w:r>
        <w:rPr>
          <w:sz w:val="20"/>
        </w:rPr>
        <w:t>Address for notices or communications to Party A:</w:t>
      </w:r>
    </w:p>
    <w:tbl>
      <w:tblPr>
        <w:tblW w:w="8730" w:type="dxa"/>
        <w:jc w:val="start"/>
        <w:tblInd w:w="828" w:type="dxa"/>
        <w:tblLayout w:type="fixed"/>
        <w:tblCellMar>
          <w:top w:w="0" w:type="dxa"/>
          <w:start w:w="108" w:type="dxa"/>
          <w:bottom w:w="0" w:type="dxa"/>
          <w:end w:w="108" w:type="dxa"/>
        </w:tblCellMar>
      </w:tblPr>
      <w:tblGrid>
        <w:gridCol w:w="1260"/>
        <w:gridCol w:w="4140"/>
        <w:gridCol w:w="3330"/>
      </w:tblGrid>
      <w:tr>
        <w:trPr/>
        <w:tc>
          <w:tcPr>
            <w:tcW w:w="1260" w:type="dxa"/>
            <w:tcBorders/>
          </w:tcPr>
          <w:p>
            <w:pPr>
              <w:pStyle w:val="Normal"/>
              <w:spacing w:before="0" w:after="480"/>
              <w:jc w:val="both"/>
              <w:rPr>
                <w:sz w:val="20"/>
              </w:rPr>
            </w:pPr>
            <w:r>
              <w:rPr>
                <w:sz w:val="20"/>
              </w:rPr>
              <w:t xml:space="preserve">Address: </w:t>
            </w:r>
          </w:p>
          <w:p>
            <w:pPr>
              <w:pStyle w:val="Normal"/>
              <w:jc w:val="both"/>
              <w:rPr>
                <w:sz w:val="20"/>
              </w:rPr>
            </w:pPr>
            <w:r>
              <w:rPr>
                <w:sz w:val="20"/>
              </w:rPr>
              <w:t>Street Address:</w:t>
            </w:r>
          </w:p>
          <w:p>
            <w:pPr>
              <w:pStyle w:val="Normal"/>
              <w:jc w:val="both"/>
              <w:rPr>
                <w:sz w:val="20"/>
              </w:rPr>
            </w:pPr>
            <w:r>
              <w:rPr>
                <w:sz w:val="20"/>
              </w:rPr>
              <w:t>(for courier delivery)</w:t>
            </w:r>
          </w:p>
          <w:p>
            <w:pPr>
              <w:pStyle w:val="Normal"/>
              <w:jc w:val="both"/>
              <w:rPr>
                <w:sz w:val="20"/>
              </w:rPr>
            </w:pPr>
            <w:r>
              <w:rPr>
                <w:sz w:val="20"/>
              </w:rPr>
            </w:r>
          </w:p>
        </w:tc>
        <w:tc>
          <w:tcPr>
            <w:tcW w:w="4140" w:type="dxa"/>
            <w:tcBorders/>
          </w:tcPr>
          <w:p>
            <w:pPr>
              <w:pStyle w:val="Normal"/>
              <w:ind w:start="612" w:end="0"/>
              <w:jc w:val="both"/>
              <w:rPr>
                <w:sz w:val="20"/>
              </w:rPr>
            </w:pPr>
            <w:r>
              <w:rPr>
                <w:sz w:val="20"/>
              </w:rPr>
              <w:t>Enron North America Corp.</w:t>
            </w:r>
          </w:p>
          <w:p>
            <w:pPr>
              <w:pStyle w:val="Normal"/>
              <w:ind w:start="612" w:end="0"/>
              <w:jc w:val="both"/>
              <w:rPr>
                <w:sz w:val="20"/>
              </w:rPr>
            </w:pPr>
            <w:r>
              <w:rPr>
                <w:sz w:val="20"/>
              </w:rPr>
              <w:t>c/o Enron House</w:t>
            </w:r>
          </w:p>
          <w:p>
            <w:pPr>
              <w:pStyle w:val="Normal"/>
              <w:ind w:start="612" w:end="0"/>
              <w:jc w:val="both"/>
              <w:rPr>
                <w:sz w:val="20"/>
              </w:rPr>
            </w:pPr>
            <w:r>
              <w:rPr>
                <w:sz w:val="20"/>
              </w:rPr>
              <w:t>40 Grosvenor Place</w:t>
            </w:r>
          </w:p>
          <w:p>
            <w:pPr>
              <w:pStyle w:val="Normal"/>
              <w:ind w:start="612" w:end="0"/>
              <w:jc w:val="both"/>
              <w:rPr>
                <w:sz w:val="20"/>
              </w:rPr>
            </w:pPr>
            <w:r>
              <w:rPr>
                <w:sz w:val="20"/>
              </w:rPr>
              <w:t>London</w:t>
            </w:r>
          </w:p>
          <w:p>
            <w:pPr>
              <w:pStyle w:val="Normal"/>
              <w:ind w:start="612" w:end="0"/>
              <w:jc w:val="both"/>
              <w:rPr>
                <w:sz w:val="20"/>
              </w:rPr>
            </w:pPr>
            <w:r>
              <w:rPr>
                <w:sz w:val="20"/>
              </w:rPr>
              <w:t>SW1X 7EN</w:t>
            </w:r>
          </w:p>
          <w:p>
            <w:pPr>
              <w:pStyle w:val="Normal"/>
              <w:ind w:start="612" w:end="0"/>
              <w:jc w:val="both"/>
              <w:rPr>
                <w:sz w:val="20"/>
              </w:rPr>
            </w:pPr>
            <w:r>
              <w:rPr>
                <w:sz w:val="20"/>
              </w:rPr>
              <w:t>Attn:  Assistant General Counsel</w:t>
            </w:r>
          </w:p>
        </w:tc>
        <w:tc>
          <w:tcPr>
            <w:tcW w:w="3330" w:type="dxa"/>
            <w:tcBorders/>
          </w:tcPr>
          <w:p>
            <w:pPr>
              <w:pStyle w:val="Normal"/>
              <w:jc w:val="both"/>
              <w:rPr>
                <w:b/>
                <w:bCs/>
                <w:sz w:val="20"/>
                <w:u w:val="single"/>
              </w:rPr>
            </w:pPr>
            <w:r>
              <w:rPr>
                <w:sz w:val="20"/>
              </w:rPr>
              <w:t>Facsimile No.:      020 7783 8664</w:t>
            </w:r>
          </w:p>
          <w:p>
            <w:pPr>
              <w:pStyle w:val="Normal"/>
              <w:jc w:val="both"/>
              <w:rPr>
                <w:sz w:val="20"/>
              </w:rPr>
            </w:pPr>
            <w:r>
              <w:rPr>
                <w:sz w:val="20"/>
              </w:rPr>
              <w:t>Telephone No.:   020 7783 6566</w:t>
            </w:r>
          </w:p>
        </w:tc>
      </w:tr>
    </w:tbl>
    <w:p>
      <w:pPr>
        <w:pStyle w:val="BlockText"/>
        <w:tabs>
          <w:tab w:val="clear" w:pos="720"/>
          <w:tab w:val="left" w:pos="1350" w:leader="none"/>
        </w:tabs>
        <w:spacing w:before="240" w:after="120"/>
        <w:ind w:start="720" w:end="-90"/>
        <w:jc w:val="both"/>
        <w:rPr>
          <w:sz w:val="20"/>
        </w:rPr>
      </w:pPr>
      <w:r>
        <w:rPr>
          <w:sz w:val="20"/>
        </w:rPr>
        <w:t>A copy of any notice sent to Party A pursuant to Section 5 or 6 or Annex A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spacing w:before="0" w:after="240"/>
        <w:ind w:hanging="720" w:start="1440" w:end="0"/>
        <w:jc w:val="both"/>
        <w:rPr>
          <w:sz w:val="20"/>
        </w:rPr>
      </w:pPr>
      <w:r>
        <w:rPr>
          <w:sz w:val="20"/>
        </w:rPr>
        <w:t>Address for notices or communications to Party B:</w:t>
      </w:r>
    </w:p>
    <w:p>
      <w:pPr>
        <w:pStyle w:val="Normal"/>
        <w:ind w:start="1440" w:end="0"/>
        <w:rPr/>
      </w:pPr>
      <w:r>
        <w:rPr>
          <w:sz w:val="20"/>
        </w:rPr>
        <w:t xml:space="preserve">FSA Administrative Services, LLC, as Trustee for Credit Protection Trust </w:t>
      </w:r>
      <w:r>
        <w:rPr>
          <w:bCs/>
          <w:sz w:val="20"/>
        </w:rPr>
        <w:t>XXVI</w:t>
        <w:br/>
      </w:r>
      <w:r>
        <w:rPr>
          <w:sz w:val="20"/>
        </w:rPr>
        <w:t xml:space="preserve">350 Park Avenue, </w:t>
        <w:br/>
        <w:t>New York, New York 10022</w:t>
        <w:br/>
        <w:t>U.S.A.</w:t>
      </w:r>
    </w:p>
    <w:p>
      <w:pPr>
        <w:pStyle w:val="Normal"/>
        <w:spacing w:before="0" w:after="240"/>
        <w:ind w:start="1440" w:end="0"/>
        <w:rPr>
          <w:sz w:val="20"/>
        </w:rPr>
      </w:pPr>
      <w:r>
        <w:rPr>
          <w:sz w:val="20"/>
        </w:rPr>
        <w:t>Attention:  Bruce Stern</w:t>
      </w:r>
    </w:p>
    <w:p>
      <w:pPr>
        <w:pStyle w:val="Normal"/>
        <w:spacing w:before="0" w:after="240"/>
        <w:ind w:start="1440" w:end="0"/>
        <w:rPr>
          <w:sz w:val="20"/>
        </w:rPr>
      </w:pPr>
      <w:r>
        <w:rPr>
          <w:sz w:val="20"/>
        </w:rPr>
        <w:t>Facsimile No.:  212-339-0892</w:t>
        <w:br/>
        <w:t>Telephone No.: 212-826-0100</w:t>
      </w:r>
    </w:p>
    <w:p>
      <w:pPr>
        <w:pStyle w:val="Normal"/>
        <w:spacing w:before="0" w:after="240"/>
        <w:ind w:start="1440" w:end="0"/>
        <w:rPr>
          <w:sz w:val="20"/>
        </w:rPr>
      </w:pPr>
      <w:r>
        <w:rPr>
          <w:sz w:val="20"/>
        </w:rPr>
        <w:t>with copies to:</w:t>
      </w:r>
    </w:p>
    <w:p>
      <w:pPr>
        <w:pStyle w:val="Normal"/>
        <w:ind w:start="1440" w:end="0"/>
        <w:rPr>
          <w:sz w:val="20"/>
        </w:rPr>
      </w:pPr>
      <w:r>
        <w:rPr>
          <w:sz w:val="20"/>
        </w:rPr>
        <w:t>Financial Security Assurance Inc.</w:t>
      </w:r>
    </w:p>
    <w:p>
      <w:pPr>
        <w:pStyle w:val="Normal"/>
        <w:ind w:start="1440" w:end="0"/>
        <w:rPr>
          <w:sz w:val="20"/>
        </w:rPr>
      </w:pPr>
      <w:r>
        <w:rPr>
          <w:sz w:val="20"/>
        </w:rPr>
        <w:t>350 Park Avenue</w:t>
      </w:r>
    </w:p>
    <w:p>
      <w:pPr>
        <w:pStyle w:val="Normal"/>
        <w:ind w:start="1440" w:end="0"/>
        <w:rPr>
          <w:sz w:val="20"/>
        </w:rPr>
      </w:pPr>
      <w:r>
        <w:rPr>
          <w:sz w:val="20"/>
        </w:rPr>
        <w:t xml:space="preserve">New York, New York 10022 </w:t>
      </w:r>
    </w:p>
    <w:p>
      <w:pPr>
        <w:pStyle w:val="Normal"/>
        <w:ind w:start="1440" w:end="0"/>
        <w:rPr>
          <w:sz w:val="20"/>
        </w:rPr>
      </w:pPr>
      <w:r>
        <w:rPr>
          <w:sz w:val="20"/>
        </w:rPr>
        <w:t>U.S.A</w:t>
      </w:r>
    </w:p>
    <w:p>
      <w:pPr>
        <w:pStyle w:val="Normal"/>
        <w:ind w:start="1440" w:end="0"/>
        <w:rPr>
          <w:sz w:val="20"/>
        </w:rPr>
      </w:pPr>
      <w:r>
        <w:rPr>
          <w:sz w:val="20"/>
        </w:rPr>
        <w:t>Attention:  Insured Portfolio Management Department</w:t>
      </w:r>
    </w:p>
    <w:p>
      <w:pPr>
        <w:pStyle w:val="Normal"/>
        <w:ind w:start="1440" w:end="0"/>
        <w:rPr>
          <w:sz w:val="20"/>
        </w:rPr>
      </w:pPr>
      <w:r>
        <w:rPr>
          <w:sz w:val="20"/>
        </w:rPr>
        <w:t>Re:  Credit Protection Trust XXVI</w:t>
      </w:r>
    </w:p>
    <w:p>
      <w:pPr>
        <w:pStyle w:val="Normal"/>
        <w:ind w:start="1440" w:end="0"/>
        <w:rPr>
          <w:sz w:val="20"/>
        </w:rPr>
      </w:pPr>
      <w:r>
        <w:rPr>
          <w:sz w:val="20"/>
        </w:rPr>
      </w:r>
    </w:p>
    <w:p>
      <w:pPr>
        <w:pStyle w:val="Normal"/>
        <w:ind w:start="1440" w:end="0"/>
        <w:rPr>
          <w:sz w:val="20"/>
        </w:rPr>
      </w:pPr>
      <w:r>
        <w:rPr>
          <w:sz w:val="20"/>
        </w:rPr>
        <w:t>Confirmation No.:  212-826-0100</w:t>
      </w:r>
    </w:p>
    <w:p>
      <w:pPr>
        <w:pStyle w:val="Normal"/>
        <w:ind w:start="1440" w:end="0"/>
        <w:rPr>
          <w:sz w:val="20"/>
        </w:rPr>
      </w:pPr>
      <w:r>
        <w:rPr>
          <w:sz w:val="20"/>
        </w:rPr>
        <w:t>Telecopy No.:        212-339-3518</w:t>
      </w:r>
    </w:p>
    <w:p>
      <w:pPr>
        <w:pStyle w:val="Normal"/>
        <w:spacing w:before="0" w:after="240"/>
        <w:ind w:start="1440" w:end="0"/>
        <w:jc w:val="both"/>
        <w:rPr>
          <w:sz w:val="20"/>
        </w:rPr>
      </w:pPr>
      <w:r>
        <w:rPr>
          <w:sz w:val="20"/>
        </w:rPr>
        <w:t xml:space="preserve">                               </w:t>
      </w:r>
      <w:r>
        <w:rPr>
          <w:sz w:val="20"/>
        </w:rPr>
        <w:t>212-339-3529</w:t>
      </w:r>
    </w:p>
    <w:p>
      <w:pPr>
        <w:pStyle w:val="CG-LeftInd1"/>
        <w:jc w:val="both"/>
        <w:rPr>
          <w:sz w:val="20"/>
        </w:rPr>
      </w:pPr>
      <w:r>
        <w:rPr>
          <w:sz w:val="20"/>
        </w:rPr>
        <w:t>(in each case in which notice or other communications to FSA refers to an Event of Default or Termination Event, or with respect to which failure on the part of FSA to respond shall be deemed to constitute consent or acceptance, then a copy of such notice of other communication should also be sent to the attention of each of the General Counsel and the Head-Financial Guaranty Group and shall be marked to indicate “URGENT MATERIAL ENCLOSED”).</w:t>
      </w:r>
    </w:p>
    <w:p>
      <w:pPr>
        <w:pStyle w:val="Normal"/>
        <w:spacing w:before="0" w:after="240"/>
        <w:ind w:hanging="720" w:start="720" w:end="0"/>
        <w:jc w:val="both"/>
        <w:rPr/>
      </w:pPr>
      <w:r>
        <w:rPr>
          <w:sz w:val="20"/>
        </w:rPr>
        <w:t>(b)</w:t>
        <w:tab/>
      </w:r>
      <w:r>
        <w:rPr>
          <w:b/>
          <w:sz w:val="20"/>
        </w:rPr>
        <w:t>Process Agent</w:t>
      </w:r>
      <w:r>
        <w:fldChar w:fldCharType="begin"/>
      </w:r>
      <w:r>
        <w:rPr/>
        <w:instrText xml:space="preserve"> TC "Process Agent" \l 1 </w:instrText>
      </w:r>
      <w:r>
        <w:rPr/>
        <w:fldChar w:fldCharType="separate"/>
      </w:r>
      <w:r>
        <w:rPr/>
      </w:r>
      <w:r>
        <w:rPr/>
        <w:fldChar w:fldCharType="end"/>
      </w:r>
      <w:r>
        <w:rPr>
          <w:sz w:val="20"/>
        </w:rPr>
        <w:t>.  For the purpose of Section 13(c) of this Agreement:</w:t>
      </w:r>
    </w:p>
    <w:p>
      <w:pPr>
        <w:pStyle w:val="Normal"/>
        <w:tabs>
          <w:tab w:val="clear" w:pos="720"/>
          <w:tab w:val="left" w:pos="4500" w:leader="none"/>
          <w:tab w:val="left" w:pos="5040" w:leader="dot"/>
          <w:tab w:val="left" w:pos="5130" w:leader="none"/>
        </w:tabs>
        <w:ind w:hanging="720" w:start="720" w:end="0"/>
        <w:jc w:val="both"/>
        <w:rPr>
          <w:sz w:val="20"/>
        </w:rPr>
      </w:pPr>
      <w:r>
        <w:rPr>
          <w:sz w:val="20"/>
        </w:rPr>
        <w:tab/>
        <w:t>Party A appoints as its Process Agent</w:t>
        <w:tab/>
        <w:t>None</w:t>
      </w:r>
    </w:p>
    <w:p>
      <w:pPr>
        <w:pStyle w:val="Normal"/>
        <w:tabs>
          <w:tab w:val="clear" w:pos="720"/>
          <w:tab w:val="left" w:pos="4500" w:leader="none"/>
          <w:tab w:val="left" w:pos="5040" w:leader="dot"/>
          <w:tab w:val="left" w:pos="5130" w:leader="none"/>
        </w:tabs>
        <w:spacing w:before="0" w:after="240"/>
        <w:ind w:hanging="720" w:start="720" w:end="0"/>
        <w:jc w:val="both"/>
        <w:rPr>
          <w:sz w:val="20"/>
        </w:rPr>
      </w:pPr>
      <w:r>
        <w:rPr>
          <w:sz w:val="20"/>
        </w:rPr>
        <w:tab/>
        <w:t>Party B appoints as its Process Agent</w:t>
        <w:tab/>
        <w:t>None</w:t>
      </w:r>
    </w:p>
    <w:p>
      <w:pPr>
        <w:pStyle w:val="Normal"/>
        <w:spacing w:before="0" w:after="240"/>
        <w:ind w:hanging="720" w:start="720" w:end="0"/>
        <w:jc w:val="both"/>
        <w:rPr/>
      </w:pPr>
      <w:r>
        <w:rPr>
          <w:sz w:val="20"/>
        </w:rPr>
        <w:t>(c)</w:t>
        <w:tab/>
      </w:r>
      <w:r>
        <w:rPr>
          <w:b/>
          <w:sz w:val="20"/>
        </w:rPr>
        <w:t>Offices</w:t>
      </w:r>
      <w:r>
        <w:fldChar w:fldCharType="begin"/>
      </w:r>
      <w:r>
        <w:rPr/>
        <w:instrText xml:space="preserve"> TC "Offices" \l 1 </w:instrText>
      </w:r>
      <w:r>
        <w:rPr/>
        <w:fldChar w:fldCharType="separate"/>
      </w:r>
      <w:r>
        <w:rPr/>
      </w:r>
      <w:r>
        <w:rPr/>
        <w:fldChar w:fldCharType="end"/>
      </w:r>
      <w:r>
        <w:rPr>
          <w:sz w:val="20"/>
        </w:rPr>
        <w:t>.  The provisions of Section 10(a) will not apply to this Agreement.</w:t>
      </w:r>
    </w:p>
    <w:p>
      <w:pPr>
        <w:pStyle w:val="Normal"/>
        <w:spacing w:before="0" w:after="240"/>
        <w:ind w:hanging="720" w:start="720" w:end="0"/>
        <w:jc w:val="both"/>
        <w:rPr/>
      </w:pPr>
      <w:r>
        <w:rPr>
          <w:sz w:val="20"/>
        </w:rPr>
        <w:t>(d)</w:t>
        <w:tab/>
      </w:r>
      <w:r>
        <w:rPr>
          <w:b/>
          <w:sz w:val="20"/>
        </w:rPr>
        <w:t>Multibranch Party</w:t>
      </w:r>
      <w:r>
        <w:fldChar w:fldCharType="begin"/>
      </w:r>
      <w:r>
        <w:rPr/>
        <w:instrText xml:space="preserve"> TC "Multibranch Party" \l 1 </w:instrText>
      </w:r>
      <w:r>
        <w:rPr/>
        <w:fldChar w:fldCharType="separate"/>
      </w:r>
      <w:r>
        <w:rPr/>
      </w:r>
      <w:r>
        <w:rPr/>
        <w:fldChar w:fldCharType="end"/>
      </w:r>
      <w:r>
        <w:rPr>
          <w:sz w:val="20"/>
        </w:rPr>
        <w:t>.  Neither party is a Multibranch Party.</w:t>
      </w:r>
    </w:p>
    <w:p>
      <w:pPr>
        <w:pStyle w:val="Normal"/>
        <w:spacing w:before="0" w:after="240"/>
        <w:ind w:hanging="720" w:start="720" w:end="0"/>
        <w:jc w:val="both"/>
        <w:rPr/>
      </w:pPr>
      <w:r>
        <w:rPr>
          <w:sz w:val="20"/>
        </w:rPr>
        <w:t>(e)</w:t>
        <w:tab/>
      </w:r>
      <w:r>
        <w:rPr>
          <w:b/>
          <w:sz w:val="20"/>
        </w:rPr>
        <w:t>Calculation Agent</w:t>
      </w:r>
      <w:r>
        <w:fldChar w:fldCharType="begin"/>
      </w:r>
      <w:r>
        <w:rPr/>
        <w:instrText xml:space="preserve"> TC "Calculation Agent" \l 1 </w:instrText>
      </w:r>
      <w:r>
        <w:rPr/>
        <w:fldChar w:fldCharType="separate"/>
      </w:r>
      <w:r>
        <w:rPr/>
      </w:r>
      <w:r>
        <w:rPr/>
        <w:fldChar w:fldCharType="end"/>
      </w:r>
      <w:r>
        <w:rPr>
          <w:sz w:val="20"/>
        </w:rPr>
        <w:t>.  The Calculation Agent is Party A, unless otherwise specified in a Confirmation in relation to the relevant Transaction, and unless an Event of Default with respect to Party A is continuing, in which case the Calculation Agent will be a financial institution selected by Party B which would qualify as a Reference Market-Maker for Party B.</w:t>
      </w:r>
    </w:p>
    <w:p>
      <w:pPr>
        <w:pStyle w:val="Normal"/>
        <w:spacing w:before="0" w:after="240"/>
        <w:ind w:hanging="720" w:start="720" w:end="0"/>
        <w:jc w:val="both"/>
        <w:rPr/>
      </w:pPr>
      <w:r>
        <w:rPr>
          <w:sz w:val="20"/>
        </w:rPr>
        <w:t>(f)</w:t>
        <w:tab/>
      </w:r>
      <w:r>
        <w:rPr>
          <w:b/>
          <w:sz w:val="20"/>
        </w:rPr>
        <w:t xml:space="preserve">Credit Support Documents.  </w:t>
      </w:r>
      <w:r>
        <w:rPr>
          <w:sz w:val="20"/>
        </w:rPr>
        <w:t>Details of Credit Support Documents:</w:t>
      </w:r>
    </w:p>
    <w:p>
      <w:pPr>
        <w:pStyle w:val="Normal"/>
        <w:tabs>
          <w:tab w:val="clear" w:pos="720"/>
          <w:tab w:val="left" w:pos="900" w:leader="none"/>
        </w:tabs>
        <w:spacing w:before="0" w:after="240"/>
        <w:ind w:hanging="720" w:start="720" w:end="0"/>
        <w:jc w:val="both"/>
        <w:rPr>
          <w:sz w:val="20"/>
        </w:rPr>
      </w:pPr>
      <w:r>
        <w:rPr>
          <w:sz w:val="20"/>
        </w:rPr>
        <w:tab/>
        <w:t>Party A:  Not applicable.</w:t>
      </w:r>
    </w:p>
    <w:p>
      <w:pPr>
        <w:pStyle w:val="Normal"/>
        <w:tabs>
          <w:tab w:val="clear" w:pos="720"/>
          <w:tab w:val="left" w:pos="900" w:leader="none"/>
        </w:tabs>
        <w:spacing w:before="0" w:after="240"/>
        <w:ind w:hanging="720" w:start="720" w:end="0"/>
        <w:jc w:val="both"/>
        <w:rPr/>
      </w:pPr>
      <w:r>
        <w:rPr>
          <w:sz w:val="20"/>
        </w:rPr>
        <w:tab/>
        <w:t>Party B:  Financial Security Assurance Inc., Financial Guaranty Insurance Policy No. 51033-N dated 22 December 2000 (the “</w:t>
      </w:r>
      <w:r>
        <w:rPr>
          <w:b/>
          <w:bCs/>
          <w:sz w:val="20"/>
        </w:rPr>
        <w:t>Policy</w:t>
      </w:r>
      <w:r>
        <w:rPr>
          <w:sz w:val="20"/>
        </w:rPr>
        <w:t xml:space="preserve">”) in the form attached as </w:t>
      </w:r>
      <w:r>
        <w:rPr>
          <w:b/>
          <w:bCs/>
          <w:sz w:val="20"/>
          <w:u w:val="single"/>
        </w:rPr>
        <w:t>Exhibit A.</w:t>
      </w:r>
    </w:p>
    <w:p>
      <w:pPr>
        <w:pStyle w:val="Normal"/>
        <w:tabs>
          <w:tab w:val="clear" w:pos="720"/>
          <w:tab w:val="left" w:pos="900" w:leader="none"/>
        </w:tabs>
        <w:spacing w:before="0" w:after="240"/>
        <w:ind w:hanging="720" w:start="720" w:end="0"/>
        <w:jc w:val="both"/>
        <w:rPr/>
      </w:pPr>
      <w:r>
        <w:rPr>
          <w:sz w:val="20"/>
        </w:rPr>
        <w:t>(g)</w:t>
        <w:tab/>
      </w:r>
      <w:r>
        <w:rPr>
          <w:b/>
          <w:sz w:val="20"/>
        </w:rPr>
        <w:t>Credit Support Provider</w:t>
      </w:r>
      <w:r>
        <w:fldChar w:fldCharType="begin"/>
      </w:r>
      <w:r>
        <w:rPr/>
        <w:instrText xml:space="preserve"> TC "Credit Support Provider" \l 1 </w:instrText>
      </w:r>
      <w:r>
        <w:rPr/>
        <w:fldChar w:fldCharType="separate"/>
      </w:r>
      <w:r>
        <w:rPr/>
      </w:r>
      <w:r>
        <w:rPr/>
        <w:fldChar w:fldCharType="end"/>
      </w:r>
      <w:r>
        <w:rPr>
          <w:sz w:val="20"/>
        </w:rPr>
        <w:t>.  Credit Support Provider means:</w:t>
      </w:r>
    </w:p>
    <w:p>
      <w:pPr>
        <w:pStyle w:val="Normal"/>
        <w:tabs>
          <w:tab w:val="clear" w:pos="720"/>
          <w:tab w:val="left" w:pos="3060" w:leader="none"/>
          <w:tab w:val="left" w:pos="3510" w:leader="dot"/>
          <w:tab w:val="left" w:pos="3690" w:leader="none"/>
          <w:tab w:val="right" w:pos="7380" w:leader="dot"/>
        </w:tabs>
        <w:ind w:hanging="720" w:start="720" w:end="0"/>
        <w:jc w:val="both"/>
        <w:rPr>
          <w:sz w:val="20"/>
        </w:rPr>
      </w:pPr>
      <w:r>
        <w:rPr>
          <w:sz w:val="20"/>
        </w:rPr>
        <w:tab/>
        <w:t>in relation to Party A:</w:t>
        <w:tab/>
        <w:t>Not applicable</w:t>
      </w:r>
    </w:p>
    <w:p>
      <w:pPr>
        <w:pStyle w:val="Normal"/>
        <w:tabs>
          <w:tab w:val="clear" w:pos="720"/>
          <w:tab w:val="left" w:pos="3060" w:leader="none"/>
          <w:tab w:val="left" w:pos="3510" w:leader="dot"/>
          <w:tab w:val="left" w:pos="3690" w:leader="none"/>
          <w:tab w:val="right" w:pos="7380" w:leader="dot"/>
        </w:tabs>
        <w:spacing w:before="0" w:after="240"/>
        <w:ind w:hanging="720" w:start="720" w:end="0"/>
        <w:jc w:val="both"/>
        <w:rPr>
          <w:sz w:val="20"/>
        </w:rPr>
      </w:pPr>
      <w:r>
        <w:rPr>
          <w:sz w:val="20"/>
        </w:rPr>
        <w:tab/>
        <w:t>in relation to Party B:</w:t>
        <w:tab/>
        <w:t>Financial Security Assurance Inc.</w:t>
      </w:r>
    </w:p>
    <w:p>
      <w:pPr>
        <w:pStyle w:val="Normal"/>
        <w:spacing w:before="0" w:after="240"/>
        <w:ind w:hanging="720" w:start="720" w:end="0"/>
        <w:jc w:val="both"/>
        <w:rPr/>
      </w:pPr>
      <w:r>
        <w:rPr>
          <w:sz w:val="20"/>
        </w:rPr>
        <w:t>(h)</w:t>
        <w:tab/>
      </w:r>
      <w:r>
        <w:rPr>
          <w:b/>
          <w:sz w:val="20"/>
        </w:rPr>
        <w:t>Governing Law</w:t>
      </w:r>
      <w:r>
        <w:fldChar w:fldCharType="begin"/>
      </w:r>
      <w:r>
        <w:rPr/>
        <w:instrText xml:space="preserve"> TC "Governing Law" \l 1 </w:instrText>
      </w:r>
      <w:r>
        <w:rPr/>
        <w:fldChar w:fldCharType="separate"/>
      </w:r>
      <w:r>
        <w:rPr/>
      </w:r>
      <w:r>
        <w:rPr/>
        <w:fldChar w:fldCharType="end"/>
      </w:r>
      <w:r>
        <w:rPr>
          <w:sz w:val="20"/>
        </w:rPr>
        <w:t xml:space="preserve">.  This Agreement will be governed by and construed in accordance with the laws of the State of New York, including Section 5-1401 of the General Obligations Law of New York, but otherwise without regard to conflicts of laws principles. </w:t>
      </w:r>
    </w:p>
    <w:p>
      <w:pPr>
        <w:pStyle w:val="Normal"/>
        <w:spacing w:before="0" w:after="240"/>
        <w:ind w:hanging="720" w:start="720" w:end="0"/>
        <w:jc w:val="both"/>
        <w:rPr/>
      </w:pPr>
      <w:r>
        <w:rPr>
          <w:sz w:val="20"/>
        </w:rPr>
        <w:t>(i)</w:t>
        <w:tab/>
      </w:r>
      <w:r>
        <w:rPr>
          <w:b/>
          <w:sz w:val="20"/>
        </w:rPr>
        <w:t>Netting of Payments</w:t>
      </w:r>
      <w:r>
        <w:fldChar w:fldCharType="begin"/>
      </w:r>
      <w:r>
        <w:rPr/>
        <w:instrText xml:space="preserve"> TC "Netting of Payments" \l 1 </w:instrText>
      </w:r>
      <w:r>
        <w:rPr/>
        <w:fldChar w:fldCharType="separate"/>
      </w:r>
      <w:r>
        <w:rPr/>
      </w:r>
      <w:r>
        <w:rPr/>
        <w:fldChar w:fldCharType="end"/>
      </w:r>
      <w:r>
        <w:rPr>
          <w:sz w:val="20"/>
        </w:rPr>
        <w:t>.  Except as specified below, Subsection (ii) of Section 2(c) of this Agreement will apply.</w:t>
      </w:r>
    </w:p>
    <w:p>
      <w:pPr>
        <w:pStyle w:val="Normal"/>
        <w:spacing w:before="0" w:after="240"/>
        <w:ind w:hanging="720" w:start="720" w:end="0"/>
        <w:jc w:val="both"/>
        <w:rPr/>
      </w:pPr>
      <w:r>
        <w:rPr>
          <w:sz w:val="20"/>
        </w:rPr>
        <w:t>(j)</w:t>
        <w:tab/>
      </w:r>
      <w:r>
        <w:rPr>
          <w:b/>
          <w:sz w:val="20"/>
        </w:rPr>
        <w:t>“Affiliate</w:t>
      </w:r>
      <w:r>
        <w:fldChar w:fldCharType="begin"/>
      </w:r>
      <w:r>
        <w:rPr/>
        <w:instrText xml:space="preserve"> TC "Affiliate" \l 1 </w:instrText>
      </w:r>
      <w:r>
        <w:rPr/>
        <w:fldChar w:fldCharType="separate"/>
      </w:r>
      <w:r>
        <w:rPr/>
      </w:r>
      <w:r>
        <w:rPr/>
        <w:fldChar w:fldCharType="end"/>
      </w:r>
      <w:r>
        <w:rPr>
          <w:b/>
          <w:sz w:val="20"/>
        </w:rPr>
        <w:t>“</w:t>
      </w:r>
      <w:r>
        <w:rPr>
          <w:sz w:val="20"/>
        </w:rPr>
        <w:t xml:space="preserve"> will have the meaning specified in Section 14 of this Agreement.</w:t>
      </w:r>
      <w:r>
        <w:br w:type="page"/>
      </w:r>
    </w:p>
    <w:p>
      <w:pPr>
        <w:pStyle w:val="Normal"/>
        <w:spacing w:before="0" w:after="240"/>
        <w:ind w:hanging="720" w:start="720" w:end="0"/>
        <w:jc w:val="both"/>
        <w:rPr>
          <w:sz w:val="20"/>
        </w:rPr>
      </w:pPr>
      <w:r>
        <w:rPr>
          <w:sz w:val="20"/>
        </w:rPr>
      </w:r>
    </w:p>
    <w:p>
      <w:pPr>
        <w:pStyle w:val="Normal"/>
        <w:spacing w:before="0" w:after="240"/>
        <w:ind w:hanging="720" w:start="720" w:end="0"/>
        <w:jc w:val="both"/>
        <w:rPr/>
      </w:pPr>
      <w:r>
        <w:rPr>
          <w:b/>
          <w:sz w:val="20"/>
        </w:rPr>
        <w:t>Part 5.</w:t>
        <w:tab/>
      </w:r>
      <w:r>
        <w:rPr>
          <w:b/>
          <w:sz w:val="20"/>
          <w:u w:val="single"/>
        </w:rPr>
        <w:t>Other Provisions</w:t>
      </w:r>
      <w:r>
        <w:fldChar w:fldCharType="begin"/>
      </w:r>
      <w:r>
        <w:rPr/>
        <w:instrText xml:space="preserve"> TC "Part 5. Other Provisions" \l 1 </w:instrText>
      </w:r>
      <w:r>
        <w:rPr/>
        <w:fldChar w:fldCharType="separate"/>
      </w:r>
      <w:r>
        <w:rPr/>
      </w:r>
      <w:r>
        <w:rPr/>
        <w:fldChar w:fldCharType="end"/>
      </w:r>
      <w:r>
        <w:rPr>
          <w:sz w:val="20"/>
        </w:rPr>
        <w:t>.</w:t>
      </w:r>
    </w:p>
    <w:p>
      <w:pPr>
        <w:pStyle w:val="Normal"/>
        <w:spacing w:before="0" w:after="240"/>
        <w:ind w:hanging="720" w:start="720" w:end="0"/>
        <w:jc w:val="both"/>
        <w:rPr/>
      </w:pPr>
      <w:r>
        <w:rPr>
          <w:sz w:val="20"/>
        </w:rPr>
        <w:t>(a)</w:t>
        <w:tab/>
      </w:r>
      <w:r>
        <w:rPr>
          <w:b/>
          <w:sz w:val="20"/>
        </w:rPr>
        <w:t>FSA</w:t>
      </w:r>
      <w:r>
        <w:fldChar w:fldCharType="begin"/>
      </w:r>
      <w:r>
        <w:rPr/>
        <w:instrText xml:space="preserve"> TC "(2) Definitions" \l 1 </w:instrText>
      </w:r>
      <w:r>
        <w:rPr/>
        <w:fldChar w:fldCharType="separate"/>
      </w:r>
      <w:r>
        <w:rPr/>
      </w:r>
      <w:r>
        <w:rPr/>
        <w:fldChar w:fldCharType="end"/>
      </w:r>
      <w:r>
        <w:rPr>
          <w:sz w:val="20"/>
        </w:rPr>
        <w:t>.  FSA is a party to this Agreement solely for the purpose of taking advantage of certain provisions relating to rights of FSA hereunder and has no obligations in respect of any Transaction under this Agreement, other than as set forth in the Policy.</w:t>
      </w:r>
    </w:p>
    <w:p>
      <w:pPr>
        <w:pStyle w:val="Normal"/>
        <w:spacing w:before="0" w:after="240"/>
        <w:ind w:hanging="720" w:start="720" w:end="0"/>
        <w:jc w:val="both"/>
        <w:rPr/>
      </w:pPr>
      <w:r>
        <w:rPr>
          <w:sz w:val="20"/>
        </w:rPr>
        <w:t>(b)</w:t>
        <w:tab/>
      </w:r>
      <w:r>
        <w:rPr>
          <w:b/>
          <w:sz w:val="20"/>
        </w:rPr>
        <w:t>Additional Representation of Party A and Party B</w:t>
      </w:r>
      <w:r>
        <w:fldChar w:fldCharType="begin"/>
      </w:r>
      <w:r>
        <w:rPr/>
        <w:instrText xml:space="preserve"> TC "(3) Additional Representation of Party A and Party B" \l 1 </w:instrText>
      </w:r>
      <w:r>
        <w:rPr/>
        <w:fldChar w:fldCharType="separate"/>
      </w:r>
      <w:r>
        <w:rPr/>
      </w:r>
      <w:r>
        <w:rPr/>
        <w:fldChar w:fldCharType="end"/>
      </w:r>
      <w:r>
        <w:rPr>
          <w:b/>
          <w:sz w:val="20"/>
        </w:rPr>
        <w:t xml:space="preserve">.  </w:t>
      </w:r>
      <w:r>
        <w:rPr>
          <w:sz w:val="20"/>
        </w:rPr>
        <w:t>Each party represents and warrants to the other that its payment obligations hereunder rank at least pari passu in all respects with all of its other unsecured obligations (except for those which are preferred by operation of law).</w:t>
      </w:r>
    </w:p>
    <w:p>
      <w:pPr>
        <w:pStyle w:val="Normal"/>
        <w:spacing w:before="0" w:after="240"/>
        <w:ind w:hanging="720" w:start="720" w:end="0"/>
        <w:jc w:val="both"/>
        <w:rPr/>
      </w:pPr>
      <w:r>
        <w:rPr>
          <w:sz w:val="20"/>
        </w:rPr>
        <w:t>(c)</w:t>
        <w:tab/>
      </w:r>
      <w:r>
        <w:rPr>
          <w:b/>
          <w:sz w:val="20"/>
        </w:rPr>
        <w:t>No Agency</w:t>
      </w:r>
      <w:r>
        <w:fldChar w:fldCharType="begin"/>
      </w:r>
      <w:r>
        <w:rPr/>
        <w:instrText xml:space="preserve"> TC "(4) No Agency" \l 1 </w:instrText>
      </w:r>
      <w:r>
        <w:rPr/>
        <w:fldChar w:fldCharType="separate"/>
      </w:r>
      <w:r>
        <w:rPr/>
      </w:r>
      <w:r>
        <w:rPr/>
        <w:fldChar w:fldCharType="end"/>
      </w:r>
      <w:r>
        <w:rPr>
          <w:sz w:val="20"/>
        </w:rPr>
        <w:t>.  Each of Party A and Party B is entering into this Agreement and each Transaction as principal (and not as agent or in any other capacity, fiduciary or otherwise).</w:t>
      </w:r>
    </w:p>
    <w:p>
      <w:pPr>
        <w:pStyle w:val="Normal"/>
        <w:spacing w:before="0" w:after="240"/>
        <w:ind w:hanging="720" w:start="720" w:end="0"/>
        <w:jc w:val="both"/>
        <w:rPr/>
      </w:pPr>
      <w:r>
        <w:rPr>
          <w:sz w:val="20"/>
        </w:rPr>
        <w:t>(d)</w:t>
        <w:tab/>
      </w:r>
      <w:r>
        <w:rPr>
          <w:b/>
          <w:sz w:val="20"/>
        </w:rPr>
        <w:t>Non-Petition.</w:t>
      </w:r>
      <w:r>
        <w:fldChar w:fldCharType="begin"/>
      </w:r>
      <w:r>
        <w:rPr/>
        <w:instrText xml:space="preserve"> TC "(5) Non-Petition" \l 1 </w:instrText>
      </w:r>
      <w:r>
        <w:rPr/>
        <w:fldChar w:fldCharType="separate"/>
      </w:r>
      <w:r>
        <w:rPr/>
      </w:r>
      <w:r>
        <w:rPr/>
        <w:fldChar w:fldCharType="end"/>
      </w:r>
      <w:r>
        <w:rPr>
          <w:sz w:val="20"/>
        </w:rPr>
        <w:t xml:space="preserve">  Party A agrees that, so long as no FSA Event of Default exists, it will not institute against, or join any person in instituting against Party B any bankruptcy, reorganization, arrangement, insolvency or liquidation proceeding, or other proceeding under any bankruptcy or similar law, prior to the expiration of the Term of the Insurance and Indemnity Agreement dated as of 22 December 2000 between Party B and FSA (as the word “Term” is therein defined).</w:t>
      </w:r>
    </w:p>
    <w:p>
      <w:pPr>
        <w:pStyle w:val="Normal"/>
        <w:spacing w:before="0" w:after="240"/>
        <w:ind w:hanging="720" w:start="720" w:end="0"/>
        <w:jc w:val="both"/>
        <w:rPr/>
      </w:pPr>
      <w:r>
        <w:rPr>
          <w:sz w:val="20"/>
        </w:rPr>
        <w:t>(e)</w:t>
        <w:tab/>
      </w:r>
      <w:r>
        <w:rPr>
          <w:b/>
          <w:sz w:val="20"/>
        </w:rPr>
        <w:t>Set-Off</w:t>
      </w:r>
      <w:r>
        <w:fldChar w:fldCharType="begin"/>
      </w:r>
      <w:r>
        <w:rPr/>
        <w:instrText xml:space="preserve"> TC "(6) Set-Off" \l 1 </w:instrText>
      </w:r>
      <w:r>
        <w:rPr/>
        <w:fldChar w:fldCharType="separate"/>
      </w:r>
      <w:r>
        <w:rPr/>
      </w:r>
      <w:r>
        <w:rPr/>
        <w:fldChar w:fldCharType="end"/>
      </w:r>
      <w:r>
        <w:rPr>
          <w:sz w:val="20"/>
        </w:rPr>
        <w:t>.  The respective obligations of Party A and Party B under this Agreement shall not be subject to any defense, counterclaim or right of set-off which either party may have against the other party, whether in respect of this Agreement or otherwise.  Section 6(e) is amended by adding the word “not” between the words “will” and “be” in the final sentence of the first paragraph thereof.</w:t>
      </w:r>
    </w:p>
    <w:p>
      <w:pPr>
        <w:pStyle w:val="Normal"/>
        <w:spacing w:before="0" w:after="240"/>
        <w:ind w:hanging="720" w:start="720" w:end="0"/>
        <w:jc w:val="both"/>
        <w:rPr/>
      </w:pPr>
      <w:r>
        <w:rPr>
          <w:sz w:val="20"/>
        </w:rPr>
        <w:t>(f)</w:t>
        <w:tab/>
      </w:r>
      <w:r>
        <w:rPr>
          <w:b/>
          <w:sz w:val="20"/>
        </w:rPr>
        <w:t>Enforcement of Rights</w:t>
      </w:r>
      <w:r>
        <w:fldChar w:fldCharType="begin"/>
      </w:r>
      <w:r>
        <w:rPr/>
        <w:instrText xml:space="preserve"> TC "(7) Enforcement of Rights" \l 1 </w:instrText>
      </w:r>
      <w:r>
        <w:rPr/>
        <w:fldChar w:fldCharType="separate"/>
      </w:r>
      <w:r>
        <w:rPr/>
      </w:r>
      <w:r>
        <w:rPr/>
        <w:fldChar w:fldCharType="end"/>
      </w:r>
      <w:r>
        <w:rPr>
          <w:sz w:val="20"/>
        </w:rPr>
        <w:t>.  Party A and Party B acknowledge and agree that FSA may directly enforce the rights of Party B under this Agreement.  Party B hereby irrevocably designates FSA its agent and attorney-in-fact for purposes of enforcing such rights, which designation is coupled with an interest.</w:t>
      </w:r>
    </w:p>
    <w:p>
      <w:pPr>
        <w:pStyle w:val="Normal"/>
        <w:spacing w:before="0" w:after="240"/>
        <w:ind w:hanging="720" w:start="720" w:end="0"/>
        <w:jc w:val="both"/>
        <w:rPr/>
      </w:pPr>
      <w:r>
        <w:rPr>
          <w:sz w:val="20"/>
        </w:rPr>
        <w:t>(g)</w:t>
        <w:tab/>
      </w:r>
      <w:r>
        <w:rPr>
          <w:b/>
          <w:sz w:val="20"/>
        </w:rPr>
        <w:t xml:space="preserve">Trustee Capacity. </w:t>
      </w:r>
      <w:r>
        <w:rPr>
          <w:sz w:val="20"/>
        </w:rPr>
        <w:t>It is expressly understood and agreed by the parties hereto that insofar as this Agreement is executed on behalf of the Trust (i) this Agreement is executed and delivered by FSA Administrative Services, LLC, not in its individual capacity, but solely as Trustee under the Trust Agreement in the exercise of the powers and authority conferred and vested in it, (ii) each of the representations, undertakings and agreements herein made on the part of the Trust is made and intended not as representations, warranties, covenants, undertakings and agreements by FSA Administrative Services, LLC in its individual capacity, but is made and intended for the purpose of binding only the Trust and (iii) under no circumstances shall FSA Administrative Services, LLC, in its individual capacity, be personally liable for the payment of any indebtedness or expenses of the Trust or be liable for the breach or failure of any obligation, representation, warranty or covenant made or undertaken by the Trust under this Agreement.</w:t>
      </w:r>
    </w:p>
    <w:p>
      <w:pPr>
        <w:pStyle w:val="Normal"/>
        <w:numPr>
          <w:ilvl w:val="0"/>
          <w:numId w:val="18"/>
        </w:numPr>
        <w:tabs>
          <w:tab w:val="left" w:pos="720" w:leader="none"/>
        </w:tabs>
        <w:spacing w:before="0" w:after="240"/>
        <w:ind w:hanging="720" w:start="720" w:end="0"/>
        <w:jc w:val="both"/>
        <w:rPr>
          <w:sz w:val="20"/>
        </w:rPr>
      </w:pPr>
      <w:r>
        <w:rPr>
          <w:b/>
          <w:sz w:val="20"/>
        </w:rPr>
        <w:t>Modification to Events of Default and Termination Events</w:t>
      </w:r>
      <w:r>
        <w:fldChar w:fldCharType="begin"/>
      </w:r>
      <w:r>
        <w:rPr/>
        <w:instrText xml:space="preserve"> TC "(9) Modification to Events of Default and Termination Events" \l 1 </w:instrText>
      </w:r>
      <w:r>
        <w:rPr/>
        <w:fldChar w:fldCharType="separate"/>
      </w:r>
      <w:r>
        <w:rPr/>
      </w:r>
      <w:r>
        <w:rPr/>
        <w:fldChar w:fldCharType="end"/>
      </w:r>
      <w:r>
        <w:rPr>
          <w:sz w:val="20"/>
        </w:rPr>
        <w:t>.  For the avoidance of doubt and notwithstanding any other provision of this Agreement, the provisions of Section 5(a) of the Agreement shall not apply to Party B with the exception of Section 5(a)(iii) (</w:t>
      </w:r>
      <w:r>
        <w:rPr>
          <w:b/>
          <w:bCs/>
          <w:i/>
          <w:iCs/>
          <w:sz w:val="20"/>
        </w:rPr>
        <w:t>Credit Support Default</w:t>
      </w:r>
      <w:r>
        <w:rPr>
          <w:sz w:val="20"/>
        </w:rPr>
        <w:t xml:space="preserve">). Until a </w:t>
      </w:r>
      <w:r>
        <w:rPr>
          <w:b/>
          <w:bCs/>
          <w:i/>
          <w:iCs/>
          <w:sz w:val="20"/>
        </w:rPr>
        <w:t>Credit Support Default</w:t>
      </w:r>
      <w:r>
        <w:rPr>
          <w:sz w:val="20"/>
        </w:rPr>
        <w:t xml:space="preserve"> has occurred, unless FSA otherwise agrees in writing, (X) Section 2(a)(iii)(1) shall have no application with respect to the obligations of Party A and (Y) Party A will not make a transfer pursuant to Section 7(b) without the prior written consent of FSA.  </w:t>
      </w:r>
    </w:p>
    <w:p>
      <w:pPr>
        <w:pStyle w:val="Normal"/>
        <w:spacing w:before="0" w:after="240"/>
        <w:ind w:hanging="720" w:start="720" w:end="0"/>
        <w:jc w:val="both"/>
        <w:rPr/>
      </w:pPr>
      <w:r>
        <w:rPr>
          <w:sz w:val="20"/>
        </w:rPr>
        <w:t>(i)</w:t>
        <w:tab/>
      </w:r>
      <w:r>
        <w:rPr>
          <w:b/>
          <w:sz w:val="20"/>
        </w:rPr>
        <w:t xml:space="preserve">Subrogation.  </w:t>
      </w:r>
      <w:r>
        <w:rPr>
          <w:sz w:val="20"/>
        </w:rPr>
        <w:t>Subject to and conditioned upon payment of any amount owed under this Agreement by or on behalf of FSA, Party A shall assign to FSA all rights to the payment of amounts to the extent of all payments made by FSA and FSA may exercise any right, power or the like of Party A with respect thereto.  Party A and Party B agree that without the need for any further action on the part of FSA, FSA shall be fully subrogated to all of the rights to payment of Party A or in relation thereto to the extent that payments are made under the Policy by or on behalf of FSA.</w:t>
      </w:r>
    </w:p>
    <w:p>
      <w:pPr>
        <w:pStyle w:val="Normal"/>
        <w:tabs>
          <w:tab w:val="clear" w:pos="720"/>
          <w:tab w:val="left" w:pos="900" w:leader="none"/>
        </w:tabs>
        <w:spacing w:before="0" w:after="240"/>
        <w:ind w:hanging="720" w:start="720" w:end="0"/>
        <w:jc w:val="both"/>
        <w:rPr/>
      </w:pPr>
      <w:r>
        <w:rPr>
          <w:sz w:val="20"/>
        </w:rPr>
        <w:tab/>
        <w:t xml:space="preserve">So long as no </w:t>
      </w:r>
      <w:r>
        <w:rPr>
          <w:b/>
          <w:bCs/>
          <w:i/>
          <w:iCs/>
          <w:sz w:val="20"/>
        </w:rPr>
        <w:t>Credit Support Default</w:t>
      </w:r>
      <w:r>
        <w:rPr>
          <w:sz w:val="20"/>
        </w:rPr>
        <w:t xml:space="preserve"> has occurred and is continuing, Party A shall cooperate in all respects with all reasonable requests by FSA for action to preserve or enforce FSA’s rights or interest under these presents.</w:t>
      </w:r>
    </w:p>
    <w:p>
      <w:pPr>
        <w:pStyle w:val="Normal"/>
        <w:tabs>
          <w:tab w:val="clear" w:pos="720"/>
          <w:tab w:val="left" w:pos="900" w:leader="none"/>
        </w:tabs>
        <w:spacing w:before="0" w:after="240"/>
        <w:ind w:hanging="720" w:start="720" w:end="0"/>
        <w:jc w:val="both"/>
        <w:rPr>
          <w:sz w:val="20"/>
        </w:rPr>
      </w:pPr>
      <w:r>
        <w:rPr>
          <w:sz w:val="20"/>
        </w:rPr>
        <w:tab/>
        <w:t>FSA shall be entitled, as subrogee, to recover from Party B any amounts paid by FSA on behalf of Party B, notwithstanding that a failure to pay by Party B may not constitute an Event of Default with respect to Party B hereunder.  Party A agrees that any payment by FSA or any agent or designee thereof on Party B’s behalf will be applied solely in respect of Party B’s obligations in respect of Scheduled Payments (as defined in the Policy).</w:t>
      </w:r>
    </w:p>
    <w:p>
      <w:pPr>
        <w:pStyle w:val="Normal"/>
        <w:spacing w:before="0" w:after="240"/>
        <w:ind w:hanging="720" w:start="720" w:end="0"/>
        <w:jc w:val="both"/>
        <w:rPr/>
      </w:pPr>
      <w:r>
        <w:rPr>
          <w:sz w:val="20"/>
        </w:rPr>
        <w:t>(j)</w:t>
        <w:tab/>
      </w:r>
      <w:r>
        <w:rPr>
          <w:b/>
          <w:sz w:val="20"/>
        </w:rPr>
        <w:t xml:space="preserve">Control in Insolvency Proceedings.  </w:t>
      </w:r>
      <w:r>
        <w:rPr>
          <w:sz w:val="20"/>
        </w:rPr>
        <w:t xml:space="preserve">Party A agrees that, so long as no </w:t>
      </w:r>
      <w:r>
        <w:rPr>
          <w:b/>
          <w:bCs/>
          <w:i/>
          <w:iCs/>
          <w:sz w:val="20"/>
        </w:rPr>
        <w:t>Credit Support Default</w:t>
      </w:r>
      <w:r>
        <w:rPr>
          <w:sz w:val="20"/>
        </w:rPr>
        <w:t xml:space="preserve"> shall have occurred and is continuing, FSA may at any time during the continuation of any proceeding by or against Party B under any applicable bankruptcy, insolvency, receivership, rehabilitation or similar law (an “</w:t>
      </w:r>
      <w:r>
        <w:rPr>
          <w:b/>
          <w:bCs/>
          <w:sz w:val="20"/>
        </w:rPr>
        <w:t>Insolvency Proceeding</w:t>
      </w:r>
      <w:r>
        <w:rPr>
          <w:sz w:val="20"/>
        </w:rPr>
        <w:t>”) direct all matters relating to such Insolvency Proceeding, including, without limitation, (i) all matters relating to any claim in connection with any Insolvency Proceeding seeking the avoidance as a preferential transfer (a “</w:t>
      </w:r>
      <w:r>
        <w:rPr>
          <w:b/>
          <w:bCs/>
          <w:sz w:val="20"/>
        </w:rPr>
        <w:t>Preference Claim</w:t>
      </w:r>
      <w:r>
        <w:rPr>
          <w:sz w:val="20"/>
        </w:rPr>
        <w:t>”) of any amount paid by Party B under this Agreement, (ii) the direction of any appeal or any order relating to any Preference Claim and (iii) the posting of any surety, supersedes or performance bond pending any such appeal.  In addition, and without limitation of the foregoing, as set forth in Part 5(i), FSA shall be subrogated to, and Party A hereby delegates and assigns, to the fullest extent permitted by law, the rights of Party A in the conduct of any Insolvency Proceeding, including, without limitation, all rights of any party to an adversary proceeding and with respect to action relating to any court order issued in connection with any such Insolvency Proceeding.  Party A shall furnish to FSA records evidencing Scheduled Payments which have been made by Party B and which have been subsequently recovered from Party A.</w:t>
      </w:r>
    </w:p>
    <w:p>
      <w:pPr>
        <w:pStyle w:val="Normal"/>
        <w:spacing w:before="0" w:after="240"/>
        <w:ind w:hanging="720" w:start="720" w:end="0"/>
        <w:jc w:val="both"/>
        <w:rPr/>
      </w:pPr>
      <w:r>
        <w:rPr>
          <w:sz w:val="20"/>
        </w:rPr>
        <w:t>(k)</w:t>
        <w:tab/>
      </w:r>
      <w:r>
        <w:rPr>
          <w:b/>
          <w:sz w:val="20"/>
        </w:rPr>
        <w:t>No Third Party Beneficiaries</w:t>
      </w:r>
      <w:r>
        <w:fldChar w:fldCharType="begin"/>
      </w:r>
      <w:r>
        <w:rPr/>
        <w:instrText xml:space="preserve"> TC "No Third Party Beneficiaries" \l 1 </w:instrText>
      </w:r>
      <w:r>
        <w:rPr/>
        <w:fldChar w:fldCharType="separate"/>
      </w:r>
      <w:r>
        <w:rPr/>
      </w:r>
      <w:r>
        <w:rPr/>
        <w:fldChar w:fldCharType="end"/>
      </w:r>
      <w:r>
        <w:rPr>
          <w:sz w:val="20"/>
        </w:rPr>
        <w:t>.  This Agreement shall inure to the benefit of the parties hereto and their respective successors and permitted assigns.  Except as otherwise expressly provided herein, no other entity shall have any right or obligation hereunder.</w:t>
      </w:r>
    </w:p>
    <w:p>
      <w:pPr>
        <w:pStyle w:val="Normal"/>
        <w:spacing w:before="0" w:after="240"/>
        <w:ind w:hanging="720" w:start="720" w:end="0"/>
        <w:jc w:val="both"/>
        <w:rPr/>
      </w:pPr>
      <w:r>
        <w:rPr>
          <w:sz w:val="20"/>
        </w:rPr>
        <w:t>(l)</w:t>
        <w:tab/>
      </w:r>
      <w:r>
        <w:rPr>
          <w:b/>
          <w:sz w:val="20"/>
        </w:rPr>
        <w:t>Tax Refunds</w:t>
      </w:r>
      <w:r>
        <w:fldChar w:fldCharType="begin"/>
      </w:r>
      <w:r>
        <w:rPr/>
        <w:instrText xml:space="preserve"> TC "Tax Refunds" \l 1 </w:instrText>
      </w:r>
      <w:r>
        <w:rPr/>
        <w:fldChar w:fldCharType="separate"/>
      </w:r>
      <w:r>
        <w:rPr/>
      </w:r>
      <w:r>
        <w:rPr/>
        <w:fldChar w:fldCharType="end"/>
      </w:r>
      <w:r>
        <w:rPr>
          <w:sz w:val="20"/>
        </w:rPr>
        <w:t>.  Section 2(d) is amended by adding the following paragraph at the end thereof:</w:t>
      </w:r>
    </w:p>
    <w:p>
      <w:pPr>
        <w:pStyle w:val="Normal"/>
        <w:spacing w:before="0" w:after="240"/>
        <w:ind w:hanging="720" w:start="1440" w:end="0"/>
        <w:jc w:val="both"/>
        <w:rPr/>
      </w:pPr>
      <w:r>
        <w:rPr>
          <w:sz w:val="20"/>
        </w:rPr>
        <w:t>(iii)</w:t>
        <w:tab/>
      </w:r>
      <w:r>
        <w:rPr>
          <w:i/>
          <w:sz w:val="20"/>
        </w:rPr>
        <w:t>Refunds</w:t>
      </w:r>
      <w:r>
        <w:rPr>
          <w:sz w:val="20"/>
        </w:rPr>
        <w:t>.  If Y has paid any amount pursuant to Section 2(d)(ii) and X subsequently receives any refund of any amount deducted or withheld in respect thereof from any revenue authority it shall promptly pay the amount refunded over to Y, together with any interest received thereon.</w:t>
      </w:r>
    </w:p>
    <w:p>
      <w:pPr>
        <w:pStyle w:val="Normal"/>
        <w:spacing w:before="0" w:after="240"/>
        <w:ind w:hanging="720" w:start="720" w:end="0"/>
        <w:jc w:val="both"/>
        <w:rPr/>
      </w:pPr>
      <w:r>
        <w:rPr>
          <w:sz w:val="20"/>
        </w:rPr>
        <w:t>(m)</w:t>
        <w:tab/>
      </w:r>
      <w:r>
        <w:rPr>
          <w:b/>
          <w:sz w:val="20"/>
        </w:rPr>
        <w:t>Expenses</w:t>
      </w:r>
      <w:r>
        <w:fldChar w:fldCharType="begin"/>
      </w:r>
      <w:r>
        <w:rPr/>
        <w:instrText xml:space="preserve"> TC "(15) Expenses" \l 1 </w:instrText>
      </w:r>
      <w:r>
        <w:rPr/>
        <w:fldChar w:fldCharType="separate"/>
      </w:r>
      <w:r>
        <w:rPr/>
      </w:r>
      <w:r>
        <w:rPr/>
        <w:fldChar w:fldCharType="end"/>
      </w:r>
      <w:r>
        <w:rPr>
          <w:sz w:val="20"/>
        </w:rPr>
        <w:t>.  Section 11 is amended by adding the following paragraph at the end thereof:</w:t>
      </w:r>
    </w:p>
    <w:p>
      <w:pPr>
        <w:pStyle w:val="CG-LeftInd05"/>
        <w:jc w:val="both"/>
        <w:rPr>
          <w:sz w:val="20"/>
        </w:rPr>
      </w:pPr>
      <w:r>
        <w:rPr>
          <w:sz w:val="20"/>
        </w:rPr>
        <w:t>In the event that the Defaulting Party is Party A, such reasonable out-of-pocket expenses shall also include the reasonable legal fees incurred by FSA by reason of the enforcement and protection of Party B’s rights under this Agreement.</w:t>
      </w:r>
    </w:p>
    <w:p>
      <w:pPr>
        <w:pStyle w:val="Normal"/>
        <w:tabs>
          <w:tab w:val="clear" w:pos="720"/>
          <w:tab w:val="left" w:pos="900" w:leader="none"/>
        </w:tabs>
        <w:spacing w:before="0" w:after="240"/>
        <w:ind w:hanging="720" w:start="720" w:end="0"/>
        <w:jc w:val="both"/>
        <w:rPr/>
      </w:pPr>
      <w:r>
        <w:rPr>
          <w:sz w:val="20"/>
        </w:rPr>
        <w:t>(n)</w:t>
        <w:tab/>
      </w:r>
      <w:r>
        <w:rPr>
          <w:b/>
          <w:sz w:val="20"/>
        </w:rPr>
        <w:t>Article 76.</w:t>
        <w:tab/>
      </w:r>
      <w:r>
        <w:rPr>
          <w:sz w:val="20"/>
        </w:rPr>
        <w:t>Party A acknowledges that Party B’s Credit Support Document is not covered by the property/casualty insurance security fund specified in Article 76 of the New York Insurance Law.</w:t>
      </w:r>
    </w:p>
    <w:p>
      <w:pPr>
        <w:pStyle w:val="Normal"/>
        <w:spacing w:before="0" w:after="240"/>
        <w:ind w:hanging="720" w:start="720" w:end="0"/>
        <w:jc w:val="both"/>
        <w:rPr/>
      </w:pPr>
      <w:r>
        <w:rPr>
          <w:sz w:val="20"/>
        </w:rPr>
        <w:t>(o)</w:t>
        <w:tab/>
      </w:r>
      <w:r>
        <w:rPr>
          <w:b/>
          <w:sz w:val="20"/>
        </w:rPr>
        <w:t xml:space="preserve">Actions by Party B.  </w:t>
      </w:r>
      <w:r>
        <w:rPr>
          <w:sz w:val="20"/>
        </w:rPr>
        <w:t>Any notice sent by Party B designating an Early Termination Date shall be ineffective unless and until such designation is consented to in writing by FSA, and such consent is delivered to Party A. No Transactions may be entered into, and no waiver or amendment of any provision of any Confirmation or any other terms of this Agreement may be made without the prior written consent of FSA.  A copy of the form of any amendment to this Agreement will be furnished to each of S&amp;P and Moody’s before the effective date of such amendment.</w:t>
      </w:r>
    </w:p>
    <w:p>
      <w:pPr>
        <w:pStyle w:val="Normal"/>
        <w:numPr>
          <w:ilvl w:val="0"/>
          <w:numId w:val="19"/>
        </w:numPr>
        <w:tabs>
          <w:tab w:val="left" w:pos="720" w:leader="none"/>
        </w:tabs>
        <w:ind w:hanging="720" w:start="720" w:end="0"/>
        <w:jc w:val="both"/>
        <w:rPr>
          <w:sz w:val="20"/>
        </w:rPr>
      </w:pPr>
      <w:r>
        <w:rPr>
          <w:b/>
          <w:sz w:val="20"/>
        </w:rPr>
        <w:t xml:space="preserve">Policy-Related Tax Information.  </w:t>
      </w:r>
      <w:r>
        <w:rPr>
          <w:sz w:val="20"/>
        </w:rPr>
        <w:t>Party A will deliver to FSA, or to such government or taxing authority as FSA may direct, upon reasonable demand by FSA, any form or document that may be required or reasonably requested in writing in order to allow FSA to make a payment under the Policy without any deduction or withholding for or on account of any Tax or with such deduction or withholding at a reduced rate (so long as the completion, execution or submission of such form or document would not materially prejudice the legal or commercial position of Party A), with any such document to be accurate and completed in a manner reasonably satisfactory to FSA and to be executed and to be delivered with any reasonably required certification.</w:t>
      </w:r>
    </w:p>
    <w:p>
      <w:pPr>
        <w:pStyle w:val="Normal"/>
        <w:jc w:val="both"/>
        <w:rPr>
          <w:sz w:val="20"/>
        </w:rPr>
      </w:pPr>
      <w:r>
        <w:rPr>
          <w:sz w:val="20"/>
        </w:rPr>
      </w:r>
    </w:p>
    <w:p>
      <w:pPr>
        <w:pStyle w:val="Normal"/>
        <w:numPr>
          <w:ilvl w:val="0"/>
          <w:numId w:val="19"/>
        </w:numPr>
        <w:tabs>
          <w:tab w:val="left" w:pos="720" w:leader="none"/>
        </w:tabs>
        <w:ind w:hanging="720" w:start="720" w:end="0"/>
        <w:rPr>
          <w:sz w:val="20"/>
        </w:rPr>
      </w:pPr>
      <w:r>
        <w:rPr>
          <w:b/>
          <w:sz w:val="20"/>
        </w:rPr>
        <w:t xml:space="preserve">Single Transaction.  </w:t>
      </w:r>
      <w:r>
        <w:rPr>
          <w:sz w:val="20"/>
        </w:rPr>
        <w:t xml:space="preserve">Each party agrees that it shall not enter into any Transaction under this Agreement other than the Credit Swap </w:t>
      </w:r>
      <w:r>
        <w:rPr>
          <w:bCs/>
          <w:sz w:val="20"/>
        </w:rPr>
        <w:t>Transaction.</w:t>
      </w:r>
    </w:p>
    <w:p>
      <w:pPr>
        <w:pStyle w:val="Normal"/>
        <w:numPr>
          <w:ilvl w:val="0"/>
          <w:numId w:val="19"/>
        </w:numPr>
        <w:tabs>
          <w:tab w:val="left" w:pos="720" w:leader="none"/>
        </w:tabs>
        <w:spacing w:before="240" w:after="0"/>
        <w:ind w:hanging="720" w:start="720" w:end="0"/>
        <w:jc w:val="both"/>
        <w:rPr>
          <w:sz w:val="20"/>
        </w:rPr>
      </w:pPr>
      <w:r>
        <w:rPr>
          <w:b/>
          <w:bCs/>
          <w:sz w:val="20"/>
        </w:rPr>
        <w:t>Conditions Precedent.</w:t>
      </w:r>
      <w:r>
        <w:rPr>
          <w:sz w:val="20"/>
        </w:rPr>
        <w:t xml:space="preserve">  (i)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 and (ii) Section 2(a)(iii) is hereby deleted in its entirety and replace by the following:</w:t>
      </w:r>
    </w:p>
    <w:p>
      <w:pPr>
        <w:pStyle w:val="Heading2"/>
        <w:numPr>
          <w:ilvl w:val="0"/>
          <w:numId w:val="19"/>
        </w:numPr>
        <w:tabs>
          <w:tab w:val="left" w:pos="720" w:leader="none"/>
        </w:tabs>
        <w:ind w:hanging="720" w:start="720" w:end="0"/>
        <w:rPr>
          <w:rFonts w:ascii="Times New Roman" w:hAnsi="Times New Roman" w:cs="Times New Roman"/>
          <w:b w:val="false"/>
          <w:bCs/>
          <w:i w:val="false"/>
          <w:i w:val="false"/>
          <w:iCs/>
          <w:sz w:val="20"/>
        </w:rPr>
      </w:pPr>
      <w:r>
        <w:rPr>
          <w:rFonts w:cs="Times New Roman" w:ascii="Times New Roman" w:hAnsi="Times New Roman"/>
          <w:i w:val="false"/>
          <w:iCs/>
          <w:sz w:val="20"/>
        </w:rPr>
        <w:t>Additional Representations</w:t>
      </w:r>
      <w:r>
        <w:rPr>
          <w:rFonts w:cs="Times New Roman" w:ascii="Times New Roman" w:hAnsi="Times New Roman"/>
          <w:b w:val="false"/>
          <w:bCs/>
          <w:i w:val="false"/>
          <w:iCs/>
          <w:sz w:val="20"/>
        </w:rPr>
        <w:t>.  For the purpose of Section 3 of the Agreement, each party further represents and warrants to the other party (which representations will be deemed repeated at all times until the termination of this Agreement and any Transactions) that:</w:t>
      </w:r>
    </w:p>
    <w:p>
      <w:pPr>
        <w:pStyle w:val="Heading3"/>
        <w:ind w:hanging="0" w:start="720" w:end="0"/>
        <w:rPr>
          <w:rFonts w:ascii="Times New Roman" w:hAnsi="Times New Roman" w:cs="Times New Roman"/>
          <w:sz w:val="20"/>
        </w:rPr>
      </w:pPr>
      <w:r>
        <w:rPr>
          <w:rFonts w:cs="Times New Roman" w:ascii="Times New Roman" w:hAnsi="Times New Roman"/>
          <w:sz w:val="20"/>
        </w:rPr>
        <w:t>(i)</w:t>
        <w:tab/>
        <w:t>entering into this Agreement and any Transaction hereunder do not violate any legal investment laws directly or indirectly applicable to it;</w:t>
      </w:r>
    </w:p>
    <w:p>
      <w:pPr>
        <w:pStyle w:val="Heading3"/>
        <w:ind w:hanging="0" w:start="720" w:end="0"/>
        <w:rPr>
          <w:rFonts w:ascii="Times New Roman" w:hAnsi="Times New Roman" w:cs="Times New Roman"/>
          <w:sz w:val="20"/>
        </w:rPr>
      </w:pPr>
      <w:r>
        <w:rPr>
          <w:rFonts w:cs="Times New Roman" w:ascii="Times New Roman" w:hAnsi="Times New Roman"/>
          <w:sz w:val="20"/>
        </w:rPr>
        <w:t>(ii)</w:t>
        <w:tab/>
        <w:t>entering into this Agreement and any Transaction hereunder is consistent with it’s investment guidelines, including any derivatives policy;</w:t>
      </w:r>
    </w:p>
    <w:p>
      <w:pPr>
        <w:pStyle w:val="Heading3"/>
        <w:ind w:hanging="0" w:start="720" w:end="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(iii)</w:t>
        <w:tab/>
        <w:t xml:space="preserve"> it has taken all requisite actions to comply with any laws, regulations and rules applicable to such transactions; and</w:t>
      </w:r>
    </w:p>
    <w:p>
      <w:pPr>
        <w:pStyle w:val="Heading3"/>
        <w:ind w:hanging="0" w:start="720" w:end="0"/>
        <w:rPr>
          <w:rFonts w:ascii="Times New Roman" w:hAnsi="Times New Roman" w:cs="Times New Roman"/>
          <w:sz w:val="20"/>
        </w:rPr>
      </w:pPr>
      <w:r>
        <w:rPr>
          <w:rFonts w:cs="Times New Roman" w:ascii="Times New Roman" w:hAnsi="Times New Roman"/>
          <w:sz w:val="20"/>
        </w:rPr>
        <w:t>(iv)</w:t>
        <w:tab/>
        <w:t>this Agreement and any Transaction hereunder has been and will be entered into not for the purpose of speculation but solely in connection with it’s ordinary business activities.</w:t>
      </w:r>
    </w:p>
    <w:p>
      <w:pPr>
        <w:pStyle w:val="Normal"/>
        <w:numPr>
          <w:ilvl w:val="0"/>
          <w:numId w:val="19"/>
        </w:numPr>
        <w:tabs>
          <w:tab w:val="left" w:pos="720" w:leader="none"/>
        </w:tabs>
        <w:spacing w:before="240" w:after="0"/>
        <w:ind w:hanging="720" w:start="720" w:end="0"/>
        <w:jc w:val="both"/>
        <w:rPr/>
      </w:pPr>
      <w:r>
        <w:rPr>
          <w:b/>
          <w:bCs/>
          <w:sz w:val="20"/>
        </w:rPr>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r>
        <w:rPr/>
        <w:t>.</w:t>
      </w:r>
    </w:p>
    <w:p>
      <w:pPr>
        <w:pStyle w:val="Normal"/>
        <w:numPr>
          <w:ilvl w:val="0"/>
          <w:numId w:val="19"/>
        </w:numPr>
        <w:tabs>
          <w:tab w:val="left" w:pos="720" w:leader="none"/>
        </w:tabs>
        <w:spacing w:before="240" w:after="0"/>
        <w:jc w:val="both"/>
        <w:rPr>
          <w:sz w:val="20"/>
        </w:rPr>
      </w:pPr>
      <w:r>
        <w:rPr>
          <w:b/>
          <w:bCs/>
          <w:sz w:val="20"/>
        </w:rPr>
        <w:t>Transfer by Party A</w:t>
      </w:r>
      <w:r>
        <w:rPr>
          <w:i/>
          <w:iCs/>
          <w:sz w:val="20"/>
        </w:rPr>
        <w:t>.</w:t>
      </w:r>
      <w:r>
        <w:rPr>
          <w:b/>
          <w:bCs/>
          <w:sz w:val="20"/>
        </w:rPr>
        <w:t xml:space="preserve">  </w:t>
      </w:r>
      <w:r>
        <w:rPr>
          <w:sz w:val="20"/>
        </w:rPr>
        <w:t xml:space="preserve">Notwithstanding Section 7 of this Agreement, </w:t>
      </w:r>
    </w:p>
    <w:p>
      <w:pPr>
        <w:pStyle w:val="Normal"/>
        <w:tabs>
          <w:tab w:val="left" w:pos="720" w:leader="none"/>
        </w:tabs>
        <w:spacing w:before="240" w:after="0"/>
        <w:ind w:start="720" w:end="0"/>
        <w:jc w:val="both"/>
        <w:rPr/>
      </w:pPr>
      <w:r>
        <w:rPr>
          <w:sz w:val="20"/>
        </w:rPr>
        <w:t xml:space="preserve">(i) Party A may at its own expense (which shall include any expenses reasonably incurred by Party B) assign and delegate in whole, but not in part, its rights and obligations under this Agreement, upon five (5) days’ prior written notice, without the consent of Party B, </w:t>
      </w:r>
      <w:r>
        <w:rPr>
          <w:b/>
          <w:bCs/>
          <w:sz w:val="20"/>
        </w:rPr>
        <w:t>to any Affiliate of Party A</w:t>
      </w:r>
      <w:r>
        <w:rPr>
          <w:sz w:val="20"/>
        </w:rPr>
        <w:t xml:space="preserve">, provided that, (a) the transferee assumes in writing the rights and obligations of Party A so assigned; (b) as a result of such assignment and delegation, no Event of Default, Potential Event of Default or Termination Event would occur and be continuing and the transfer would not result in a higher cost of capital for FSA in respect of the Policy; (c) on the date of such transfer, the transferee shall make the representations set out in Part 3 of this Agreement; (d) the creditworthiness of the transferee is not materially weaker than that of Party A and has the same or a higher credit rating than that of Party A  immediately prior to the proposed transfer date; and (e) the Calculation Agent under the Agreement is Party B or a Dealer. </w:t>
      </w:r>
    </w:p>
    <w:p>
      <w:pPr>
        <w:pStyle w:val="Normal"/>
        <w:spacing w:before="240" w:after="240"/>
        <w:ind w:start="720" w:end="0"/>
        <w:jc w:val="both"/>
        <w:rPr/>
      </w:pPr>
      <w:r>
        <w:rPr>
          <w:sz w:val="20"/>
        </w:rPr>
        <w:t xml:space="preserve">(ii) Party A may at its own expense (which shall include any expenses reasonably incurred by Party B) assign and delegate in whole, but not in part, its rights and obligations under this Agreement, upon ten (10) days’ prior written notice, with the consent of Party B and FSA (which consent shall not be unreasonably withheld, </w:t>
      </w:r>
      <w:r>
        <w:rPr>
          <w:b/>
          <w:bCs/>
          <w:sz w:val="20"/>
        </w:rPr>
        <w:t>to any third party</w:t>
      </w:r>
      <w:r>
        <w:rPr>
          <w:sz w:val="20"/>
        </w:rPr>
        <w:t>, provided that, (a) the transferee assumes in writing the rights and obligations of Party A so assigned; (b) as a result of such assignment and delegation, no Event of Default, Potential Event of Default or Termination Event would occur and be continuing and the transfer would not result in a higher cost of capital for FSA in respect of the Policy; (c) on the date of such transfer, the transferee shall make the representations set out in Part 3 of this Agreement; (d) FSA’s policies in effect at such time would permit it to enter into, or guarantee the obligations of Party B under  the Agreement to any entity such as the transferee; (e) the transferee, or its guarantor, has a long term senior unsecured debt rating of at least “A” from Standard &amp; Poor’s Ratings Group  (or any successor) (“</w:t>
      </w:r>
      <w:r>
        <w:rPr>
          <w:b/>
          <w:bCs/>
          <w:sz w:val="20"/>
        </w:rPr>
        <w:t>S&amp;P</w:t>
      </w:r>
      <w:r>
        <w:rPr>
          <w:sz w:val="20"/>
        </w:rPr>
        <w:t>”) or “A2” from Moody’s Investors Services, Inc.  (or any successor) (“</w:t>
      </w:r>
      <w:r>
        <w:rPr>
          <w:b/>
          <w:bCs/>
          <w:sz w:val="20"/>
        </w:rPr>
        <w:t>Moody’s</w:t>
      </w:r>
      <w:r>
        <w:rPr>
          <w:sz w:val="20"/>
        </w:rPr>
        <w:t>”) immediately prior to the proposed transfer date and (f) the Calculation Agent under the Agreement is a Dealer.</w:t>
      </w:r>
    </w:p>
    <w:p>
      <w:pPr>
        <w:pStyle w:val="Normal"/>
        <w:ind w:hanging="720" w:start="720" w:end="0"/>
        <w:jc w:val="both"/>
        <w:rPr>
          <w:sz w:val="20"/>
        </w:rPr>
      </w:pPr>
      <w:r>
        <w:rPr>
          <w:sz w:val="20"/>
        </w:rPr>
      </w:r>
    </w:p>
    <w:p>
      <w:pPr>
        <w:pStyle w:val="Normal"/>
        <w:keepNext w:val="true"/>
        <w:numPr>
          <w:ilvl w:val="0"/>
          <w:numId w:val="0"/>
        </w:numPr>
        <w:spacing w:before="0" w:after="480"/>
        <w:ind w:hanging="720" w:start="4320" w:end="0"/>
        <w:jc w:val="both"/>
        <w:rPr>
          <w:sz w:val="20"/>
        </w:rPr>
      </w:pPr>
      <w:r>
        <w:rPr>
          <w:sz w:val="20"/>
        </w:rPr>
      </w:r>
    </w:p>
    <w:p>
      <w:pPr>
        <w:pStyle w:val="CG-Title-Left-Bold"/>
        <w:jc w:val="both"/>
        <w:rPr>
          <w:sz w:val="20"/>
        </w:rPr>
      </w:pPr>
      <w:r>
        <w:rPr>
          <w:sz w:val="20"/>
        </w:rPr>
        <w:tab/>
        <w:tab/>
        <w:tab/>
        <w:tab/>
        <w:tab/>
        <w:t>ENRON NORTH AMERICA CORP.</w:t>
      </w:r>
    </w:p>
    <w:p>
      <w:pPr>
        <w:pStyle w:val="Normal"/>
        <w:keepNext w:val="true"/>
        <w:numPr>
          <w:ilvl w:val="0"/>
          <w:numId w:val="0"/>
        </w:numPr>
        <w:ind w:hanging="720" w:start="4320" w:end="0"/>
        <w:jc w:val="both"/>
        <w:rPr>
          <w:sz w:val="20"/>
        </w:rPr>
      </w:pPr>
      <w:r>
        <w:rPr>
          <w:sz w:val="20"/>
        </w:rPr>
      </w:r>
    </w:p>
    <w:p>
      <w:pPr>
        <w:pStyle w:val="Normal"/>
        <w:keepNext w:val="true"/>
        <w:numPr>
          <w:ilvl w:val="0"/>
          <w:numId w:val="0"/>
        </w:numPr>
        <w:ind w:hanging="720" w:start="4320" w:end="0"/>
        <w:jc w:val="both"/>
        <w:rPr>
          <w:sz w:val="20"/>
        </w:rPr>
      </w:pPr>
      <w:r>
        <w:rPr>
          <w:sz w:val="20"/>
        </w:rPr>
      </w:r>
    </w:p>
    <w:p>
      <w:pPr>
        <w:pStyle w:val="Normal"/>
        <w:keepNext w:val="true"/>
        <w:numPr>
          <w:ilvl w:val="0"/>
          <w:numId w:val="0"/>
        </w:numPr>
        <w:ind w:hanging="720" w:start="4320" w:end="0"/>
        <w:jc w:val="both"/>
        <w:rPr>
          <w:sz w:val="20"/>
        </w:rPr>
      </w:pPr>
      <w:r>
        <w:rPr>
          <w:sz w:val="20"/>
        </w:rPr>
        <w:t xml:space="preserve">By:  </w:t>
      </w:r>
      <w:r>
        <w:rPr>
          <w:sz w:val="20"/>
          <w:u w:val="single"/>
        </w:rPr>
        <w:tab/>
        <w:tab/>
        <w:tab/>
        <w:tab/>
        <w:tab/>
        <w:tab/>
      </w:r>
    </w:p>
    <w:p>
      <w:pPr>
        <w:pStyle w:val="Normal"/>
        <w:keepNext w:val="true"/>
        <w:numPr>
          <w:ilvl w:val="0"/>
          <w:numId w:val="0"/>
        </w:numPr>
        <w:ind w:hanging="720" w:start="4320" w:end="0"/>
        <w:jc w:val="both"/>
        <w:rPr>
          <w:sz w:val="20"/>
        </w:rPr>
      </w:pPr>
      <w:r>
        <w:rPr>
          <w:sz w:val="20"/>
        </w:rPr>
        <w:tab/>
        <w:t>Name:</w:t>
      </w:r>
    </w:p>
    <w:p>
      <w:pPr>
        <w:pStyle w:val="Normal"/>
        <w:keepNext w:val="true"/>
        <w:numPr>
          <w:ilvl w:val="0"/>
          <w:numId w:val="0"/>
        </w:numPr>
        <w:spacing w:before="0" w:after="480"/>
        <w:ind w:hanging="720" w:start="4320" w:end="0"/>
        <w:jc w:val="both"/>
        <w:rPr>
          <w:sz w:val="20"/>
        </w:rPr>
      </w:pPr>
      <w:r>
        <w:rPr>
          <w:sz w:val="20"/>
        </w:rPr>
        <w:tab/>
        <w:t>Title:</w:t>
      </w:r>
    </w:p>
    <w:p>
      <w:pPr>
        <w:pStyle w:val="Normal"/>
        <w:keepNext w:val="true"/>
        <w:numPr>
          <w:ilvl w:val="0"/>
          <w:numId w:val="0"/>
        </w:numPr>
        <w:ind w:hanging="720" w:start="4320" w:end="0"/>
        <w:jc w:val="both"/>
        <w:rPr>
          <w:sz w:val="20"/>
        </w:rPr>
      </w:pPr>
      <w:r>
        <w:rPr>
          <w:sz w:val="20"/>
        </w:rPr>
        <w:t xml:space="preserve">By:  </w:t>
      </w:r>
      <w:r>
        <w:rPr>
          <w:sz w:val="20"/>
          <w:u w:val="single"/>
        </w:rPr>
        <w:tab/>
        <w:tab/>
        <w:tab/>
        <w:tab/>
        <w:tab/>
        <w:tab/>
      </w:r>
    </w:p>
    <w:p>
      <w:pPr>
        <w:pStyle w:val="Normal"/>
        <w:keepNext w:val="true"/>
        <w:numPr>
          <w:ilvl w:val="0"/>
          <w:numId w:val="0"/>
        </w:numPr>
        <w:ind w:hanging="720" w:start="4320" w:end="0"/>
        <w:jc w:val="both"/>
        <w:rPr>
          <w:sz w:val="20"/>
        </w:rPr>
      </w:pPr>
      <w:r>
        <w:rPr>
          <w:sz w:val="20"/>
        </w:rPr>
        <w:tab/>
        <w:t>Name:</w:t>
      </w:r>
    </w:p>
    <w:p>
      <w:pPr>
        <w:pStyle w:val="Normal"/>
        <w:keepNext w:val="true"/>
        <w:numPr>
          <w:ilvl w:val="0"/>
          <w:numId w:val="0"/>
        </w:numPr>
        <w:spacing w:before="0" w:after="480"/>
        <w:ind w:hanging="720" w:start="4320" w:end="0"/>
        <w:jc w:val="both"/>
        <w:rPr>
          <w:sz w:val="20"/>
        </w:rPr>
      </w:pPr>
      <w:r>
        <w:rPr>
          <w:sz w:val="20"/>
        </w:rPr>
        <w:tab/>
        <w:t>Title</w:t>
      </w:r>
    </w:p>
    <w:p>
      <w:pPr>
        <w:pStyle w:val="Normal"/>
        <w:keepNext w:val="true"/>
        <w:keepLines/>
        <w:spacing w:before="0" w:after="480"/>
        <w:ind w:start="3600" w:end="0"/>
        <w:jc w:val="both"/>
        <w:rPr>
          <w:b/>
          <w:sz w:val="20"/>
        </w:rPr>
      </w:pPr>
      <w:r>
        <w:rPr>
          <w:b/>
          <w:sz w:val="20"/>
        </w:rPr>
        <w:t>CREDIT PROTECTION TRUST XXVI</w:t>
      </w:r>
    </w:p>
    <w:p>
      <w:pPr>
        <w:pStyle w:val="Normal"/>
        <w:keepNext w:val="true"/>
        <w:keepLines/>
        <w:tabs>
          <w:tab w:val="clear" w:pos="720"/>
          <w:tab w:val="left" w:pos="4050" w:leader="none"/>
        </w:tabs>
        <w:spacing w:before="0" w:after="480"/>
        <w:ind w:start="3600" w:end="0"/>
        <w:rPr>
          <w:sz w:val="20"/>
        </w:rPr>
      </w:pPr>
      <w:r>
        <w:rPr>
          <w:sz w:val="20"/>
        </w:rPr>
        <w:t xml:space="preserve">By:   FSA Administrative Services, LLC, </w:t>
        <w:br/>
        <w:tab/>
        <w:t>solely as Trustee and not in its individual capacity</w:t>
      </w:r>
    </w:p>
    <w:p>
      <w:pPr>
        <w:pStyle w:val="Normal"/>
        <w:keepNext w:val="true"/>
        <w:keepLines/>
        <w:tabs>
          <w:tab w:val="clear" w:pos="720"/>
          <w:tab w:val="left" w:pos="4230" w:leader="none"/>
        </w:tabs>
        <w:spacing w:before="0" w:after="480"/>
        <w:ind w:start="3600" w:end="0"/>
        <w:jc w:val="both"/>
        <w:rPr>
          <w:sz w:val="20"/>
        </w:rPr>
      </w:pPr>
      <w:r>
        <w:rPr>
          <w:sz w:val="20"/>
        </w:rPr>
        <w:t>By:  FSA Portfolio Management, Inc., Member</w:t>
      </w:r>
    </w:p>
    <w:p>
      <w:pPr>
        <w:pStyle w:val="Normal"/>
        <w:keepNext w:val="true"/>
        <w:numPr>
          <w:ilvl w:val="0"/>
          <w:numId w:val="0"/>
        </w:numPr>
        <w:ind w:hanging="720" w:start="4320" w:end="0"/>
        <w:jc w:val="both"/>
        <w:rPr/>
      </w:pPr>
      <w:r>
        <w:rPr>
          <w:sz w:val="20"/>
        </w:rPr>
        <w:t xml:space="preserve">By:  </w:t>
      </w:r>
      <w:r>
        <w:rPr>
          <w:sz w:val="20"/>
          <w:u w:val="single"/>
        </w:rPr>
        <w:tab/>
        <w:tab/>
        <w:tab/>
        <w:tab/>
        <w:tab/>
        <w:tab/>
      </w:r>
      <w:r>
        <w:rPr>
          <w:sz w:val="20"/>
        </w:rPr>
        <w:tab/>
      </w:r>
    </w:p>
    <w:p>
      <w:pPr>
        <w:pStyle w:val="Normal"/>
        <w:keepNext w:val="true"/>
        <w:numPr>
          <w:ilvl w:val="0"/>
          <w:numId w:val="0"/>
        </w:numPr>
        <w:spacing w:before="0" w:after="480"/>
        <w:ind w:hanging="720" w:start="4320" w:end="0"/>
        <w:jc w:val="both"/>
        <w:rPr>
          <w:sz w:val="20"/>
        </w:rPr>
      </w:pPr>
      <w:r>
        <w:rPr>
          <w:sz w:val="20"/>
        </w:rPr>
        <w:tab/>
        <w:t>Name:</w:t>
        <w:br/>
        <w:t>Title:</w:t>
      </w:r>
    </w:p>
    <w:p>
      <w:pPr>
        <w:pStyle w:val="CG-Title-Left-Bold"/>
        <w:spacing w:before="0" w:after="480"/>
        <w:jc w:val="both"/>
        <w:rPr>
          <w:sz w:val="20"/>
        </w:rPr>
      </w:pPr>
      <w:r>
        <w:rPr>
          <w:sz w:val="20"/>
        </w:rPr>
        <w:tab/>
        <w:tab/>
        <w:tab/>
        <w:tab/>
        <w:tab/>
        <w:t xml:space="preserve">FINANCIAL SECURITY ASSURANCE INC. </w:t>
        <w:tab/>
        <w:tab/>
        <w:tab/>
        <w:tab/>
        <w:tab/>
        <w:tab/>
        <w:tab/>
      </w:r>
    </w:p>
    <w:p>
      <w:pPr>
        <w:pStyle w:val="Normal"/>
        <w:keepNext w:val="true"/>
        <w:numPr>
          <w:ilvl w:val="0"/>
          <w:numId w:val="0"/>
        </w:numPr>
        <w:ind w:hanging="720" w:start="4320" w:end="0"/>
        <w:jc w:val="both"/>
        <w:rPr>
          <w:sz w:val="20"/>
        </w:rPr>
      </w:pPr>
      <w:r>
        <w:rPr>
          <w:sz w:val="20"/>
        </w:rPr>
        <w:t xml:space="preserve">By:  </w:t>
      </w:r>
      <w:r>
        <w:rPr>
          <w:sz w:val="20"/>
          <w:u w:val="single"/>
        </w:rPr>
        <w:tab/>
        <w:tab/>
        <w:tab/>
        <w:tab/>
        <w:tab/>
        <w:tab/>
      </w:r>
    </w:p>
    <w:p>
      <w:pPr>
        <w:pStyle w:val="Normal"/>
        <w:keepNext w:val="true"/>
        <w:numPr>
          <w:ilvl w:val="0"/>
          <w:numId w:val="0"/>
        </w:numPr>
        <w:ind w:hanging="720" w:start="4320" w:end="0"/>
        <w:jc w:val="both"/>
        <w:rPr>
          <w:sz w:val="20"/>
        </w:rPr>
      </w:pPr>
      <w:r>
        <w:rPr>
          <w:sz w:val="20"/>
        </w:rPr>
        <w:tab/>
        <w:t>Name:</w:t>
      </w:r>
    </w:p>
    <w:p>
      <w:pPr>
        <w:pStyle w:val="Normal"/>
        <w:ind w:hanging="720" w:start="720" w:end="0"/>
        <w:jc w:val="both"/>
        <w:rPr>
          <w:sz w:val="20"/>
        </w:rPr>
      </w:pPr>
      <w:r>
        <w:rPr>
          <w:sz w:val="20"/>
        </w:rPr>
        <w:tab/>
        <w:tab/>
        <w:tab/>
        <w:tab/>
        <w:tab/>
        <w:tab/>
        <w:t>Title:</w:t>
      </w:r>
    </w:p>
    <w:p>
      <w:pPr>
        <w:pStyle w:val="Normal"/>
        <w:ind w:hanging="720" w:start="720" w:end="0"/>
        <w:jc w:val="both"/>
        <w:rPr>
          <w:sz w:val="20"/>
        </w:rPr>
      </w:pPr>
      <w:r>
        <w:rPr>
          <w:sz w:val="20"/>
        </w:rPr>
      </w:r>
    </w:p>
    <w:p>
      <w:pPr>
        <w:pStyle w:val="CG-SingleSp"/>
        <w:jc w:val="both"/>
        <w:rPr>
          <w:sz w:val="20"/>
        </w:rPr>
      </w:pPr>
      <w:r>
        <w:rPr>
          <w:sz w:val="20"/>
        </w:rPr>
      </w:r>
    </w:p>
    <w:p>
      <w:pPr>
        <w:pStyle w:val="Normal"/>
        <w:jc w:val="both"/>
        <w:rPr>
          <w:sz w:val="20"/>
        </w:rPr>
      </w:pPr>
      <w:r>
        <w:rPr>
          <w:sz w:val="20"/>
        </w:rPr>
      </w:r>
    </w:p>
    <w:sectPr>
      <w:headerReference w:type="default" r:id="rId2"/>
      <w:footerReference w:type="default" r:id="rId3"/>
      <w:type w:val="nextPage"/>
      <w:pgSz w:w="12240" w:h="15840"/>
      <w:pgMar w:left="1440" w:right="1440" w:gutter="0" w:header="720" w:top="1440" w:footer="720" w:bottom="1440"/>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napToGrid w:val="false"/>
            <w:rPr>
              <w:rStyle w:val="iManageFooter"/>
            </w:rPr>
          </w:pPr>
          <w:r>
            <w:rPr/>
          </w:r>
        </w:p>
      </w:tc>
      <w:tc>
        <w:tcPr>
          <w:tcW w:w="3192"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c>
      <w:tc>
        <w:tcPr>
          <w:tcW w:w="3192"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spacing w:before="120" w:after="0"/>
      <w:rPr/>
    </w:pPr>
    <w:r>
      <w:rPr>
        <w:rStyle w:val="FooterRightSideText"/>
        <w:sz w:val="16"/>
      </w:rPr>
      <w:fldChar w:fldCharType="begin"/>
    </w:r>
    <w:r>
      <w:rPr>
        <w:rStyle w:val="FooterRightSideText"/>
        <w:sz w:val="16"/>
      </w:rPr>
      <w:instrText xml:space="preserve"> FILENAME \p </w:instrText>
    </w:r>
    <w:r>
      <w:rPr>
        <w:rStyle w:val="FooterRightSideText"/>
        <w:sz w:val="16"/>
      </w:rPr>
      <w:fldChar w:fldCharType="separate"/>
    </w:r>
    <w:r>
      <w:rPr>
        <w:rStyle w:val="FooterRightSideText"/>
        <w:sz w:val="16"/>
      </w:rPr>
      <w:t>/mnt/main-storage/datasets/enron-docs/doc/FSA_ISDA_Schedule__EXECUTION_COPY_.doc</w:t>
    </w:r>
    <w:r>
      <w:rPr>
        <w:rStyle w:val="FooterRightSideText"/>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EXECUTION COPY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abstractNum w:abstractNumId="13">
    <w:lvl w:ilvl="0">
      <w:start w:val="12"/>
      <w:numFmt w:val="lowerLetter"/>
      <w:lvlText w:val="(%1)"/>
      <w:lvlJc w:val="start"/>
      <w:pPr>
        <w:tabs>
          <w:tab w:val="num" w:pos="360"/>
        </w:tabs>
        <w:ind w:start="360" w:hanging="360"/>
      </w:pPr>
      <w:rPr>
        <w:i w:val="false"/>
        <w:b w:val="false"/>
        <w:color w:val="000000"/>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lowerLetter"/>
      <w:lvlText w:val="(%1)"/>
      <w:lvlJc w:val="start"/>
      <w:pPr>
        <w:tabs>
          <w:tab w:val="num" w:pos="360"/>
        </w:tabs>
        <w:ind w:start="360" w:hanging="360"/>
      </w:pPr>
      <w:rPr>
        <w:i w:val="false"/>
        <w:b w:val="false"/>
        <w:color w:val="000000"/>
      </w:r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lowerRoman"/>
      <w:lvlText w:val="(%1)"/>
      <w:lvlJc w:val="end"/>
      <w:pPr>
        <w:tabs>
          <w:tab w:val="num" w:pos="504"/>
        </w:tabs>
        <w:ind w:start="504" w:hanging="216"/>
      </w:pPr>
    </w:lvl>
  </w:abstractNum>
  <w:abstractNum w:abstractNumId="18">
    <w:lvl w:ilvl="0">
      <w:start w:val="8"/>
      <w:numFmt w:val="lowerLetter"/>
      <w:lvlText w:val="(%1)"/>
      <w:lvlJc w:val="start"/>
      <w:pPr>
        <w:tabs>
          <w:tab w:val="num" w:pos="360"/>
        </w:tabs>
        <w:ind w:start="360" w:hanging="360"/>
      </w:pPr>
      <w:rPr/>
    </w:lvl>
  </w:abstractNum>
  <w:abstractNum w:abstractNumId="19">
    <w:lvl w:ilvl="0">
      <w:start w:val="15"/>
      <w:numFmt w:val="lowerLetter"/>
      <w:lvlText w:val="(%1)"/>
      <w:lvlJc w:val="start"/>
      <w:pPr>
        <w:tabs>
          <w:tab w:val="num" w:pos="360"/>
        </w:tabs>
        <w:ind w:start="360" w:hanging="360"/>
      </w:pPr>
      <w:rPr/>
    </w:lvl>
  </w:abstractNum>
  <w:abstractNum w:abstractNumId="20">
    <w:lvl w:ilvl="0">
      <w:start w:val="1"/>
      <w:numFmt w:val="lowerLetter"/>
      <w:lvlText w:val="(%1)"/>
      <w:lvlJc w:val="start"/>
      <w:pPr>
        <w:tabs>
          <w:tab w:val="num" w:pos="360"/>
        </w:tabs>
        <w:ind w:start="360" w:hanging="360"/>
      </w:pPr>
    </w:lvl>
  </w:abstractNum>
  <w:abstractNum w:abstractNumId="21">
    <w:lvl w:ilvl="0">
      <w:start w:val="1"/>
      <w:numFmt w:val="upperRoman"/>
      <w:lvlText w:val="%1."/>
      <w:lvlJc w:val="start"/>
      <w:pPr>
        <w:tabs>
          <w:tab w:val="num" w:pos="720"/>
        </w:tabs>
        <w:ind w:start="720" w:hanging="720"/>
      </w:pPr>
    </w:lvl>
  </w:abstractNum>
  <w:abstractNum w:abstractNumId="22">
    <w:lvl w:ilvl="0">
      <w:start w:val="1"/>
      <w:numFmt w:val="decimal"/>
      <w:lvlText w:val="(%1)"/>
      <w:lvlJc w:val="start"/>
      <w:pPr>
        <w:tabs>
          <w:tab w:val="num" w:pos="720"/>
        </w:tabs>
        <w:ind w:start="720" w:hanging="360"/>
      </w:pPr>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5"/>
      <w:numFmt w:val="lowerLetter"/>
      <w:lvlText w:val="(%1)"/>
      <w:lvlJc w:val="start"/>
      <w:pPr>
        <w:tabs>
          <w:tab w:val="num" w:pos="360"/>
        </w:tabs>
        <w:ind w:start="360" w:hanging="360"/>
      </w:pPr>
      <w:rPr>
        <w:i w:val="false"/>
        <w:b w:val="false"/>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97_1" w:val="110055.5"/>
    <w:docVar w:name="DOCX97_10" w:val="3/25/99 10:46:38 PM"/>
    <w:docVar w:name="DOCX97_2" w:val="s:\clearygottlieb_source\cg_dc_413\dc\mmazzuch\36\5\110055.5"/>
    <w:docVar w:name="DOCX97_3" w:val="WORD7"/>
    <w:docVar w:name="DOCX97_4" w:val="n:\clearygottlieb_target\cg_dc_413\dc\mmazzuch\36\5\110055.5"/>
    <w:docVar w:name="DOCX97_5" w:val=" 39936"/>
    <w:docVar w:name="DOCX97_51" w:val="NoDocType"/>
    <w:docVar w:name="DOCX97_6" w:val="79360"/>
    <w:docVar w:name="DOCX97_66" w:val="GoodQuotes"/>
    <w:docVar w:name="DOCX97_8" w:val="4/3/99 3:07:50 PM"/>
    <w:docVar w:name="DOCX97_88" w:val="Word8Revisions"/>
    <w:docVar w:name="DOCX97_89" w:val="Word7MacrosDone"/>
    <w:docVar w:name="DOCX97_92" w:val="4/3/99"/>
    <w:docVar w:name="DOCX97_93" w:val="3:08:07 PM"/>
    <w:docVar w:name="footvar" w:val="FOOTER IS IN"/>
    <w:docVar w:name="MarkCheckBox" w:val="FALSE"/>
    <w:docVar w:name="ShowPrintedCheckBox" w:val="FALSE"/>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b w:val="false"/>
      <w:i w:val="false"/>
      <w:color w:val="000000"/>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b w:val="false"/>
      <w:i w:val="false"/>
      <w:color w:val="000000"/>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b w:val="false"/>
      <w:i w:val="false"/>
      <w:color w:val="000000"/>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b w:val="false"/>
      <w:i w:val="false"/>
      <w:color w:val="000000"/>
    </w:rPr>
  </w:style>
  <w:style w:type="character" w:styleId="DefaultParagraphFont">
    <w:name w:val="Default Paragraph Font"/>
    <w:qFormat/>
    <w:rPr>
      <w:lang w:val="en-US"/>
    </w:rPr>
  </w:style>
  <w:style w:type="character" w:styleId="iManageFooter">
    <w:name w:val="iManage Footer"/>
    <w:basedOn w:val="DefaultParagraphFont"/>
    <w:qFormat/>
    <w:rPr>
      <w:sz w:val="16"/>
    </w:rPr>
  </w:style>
  <w:style w:type="character" w:styleId="PageNumber">
    <w:name w:val="page number"/>
    <w:basedOn w:val="DefaultParagraphFont"/>
    <w:rPr/>
  </w:style>
  <w:style w:type="character" w:styleId="FooterRightSideText">
    <w:name w:val="FooterRightSideText"/>
    <w:basedOn w:val="DefaultParagraphFont"/>
    <w:qFormat/>
    <w:rPr/>
  </w:style>
  <w:style w:type="character" w:styleId="ParaNum">
    <w:name w:val="ParaNum"/>
    <w:basedOn w:val="DefaultParagraphFont"/>
    <w:qFormat/>
    <w:rPr/>
  </w:style>
  <w:style w:type="character" w:styleId="CommentReference">
    <w:name w:val="Comment Reference"/>
    <w:basedOn w:val="DefaultParagraphFont"/>
    <w:qFormat/>
    <w:rPr>
      <w:sz w:val="16"/>
      <w:lang w:val="en-US"/>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G-DblInd05">
    <w:name w:val="CG-Dbl Ind 0.5"/>
    <w:basedOn w:val="Normal"/>
    <w:qFormat/>
    <w:pPr>
      <w:spacing w:before="0" w:after="240"/>
      <w:ind w:hanging="0" w:start="720" w:end="720"/>
    </w:pPr>
    <w:rPr/>
  </w:style>
  <w:style w:type="paragraph" w:styleId="CG-DblInd1">
    <w:name w:val="CG-Dbl Ind 1"/>
    <w:basedOn w:val="Normal"/>
    <w:qFormat/>
    <w:pPr>
      <w:spacing w:before="0" w:after="240"/>
      <w:ind w:hanging="0" w:start="1440" w:end="1440"/>
    </w:pPr>
    <w:rPr/>
  </w:style>
  <w:style w:type="paragraph" w:styleId="CG-DblSp05">
    <w:name w:val="CG-Dbl Sp 0.5"/>
    <w:basedOn w:val="Normal"/>
    <w:qFormat/>
    <w:pPr>
      <w:spacing w:lineRule="auto" w:line="480"/>
      <w:ind w:firstLine="720" w:start="0" w:end="0"/>
    </w:pPr>
    <w:rPr/>
  </w:style>
  <w:style w:type="paragraph" w:styleId="CG-DblSp1">
    <w:name w:val="CG-Dbl Sp 1"/>
    <w:basedOn w:val="Normal"/>
    <w:qFormat/>
    <w:pPr>
      <w:spacing w:lineRule="auto" w:line="480"/>
      <w:ind w:firstLine="1440" w:start="0" w:end="0"/>
    </w:pPr>
    <w:rPr/>
  </w:style>
  <w:style w:type="paragraph" w:styleId="CG-DblSp">
    <w:name w:val="CG-Dbl Sp"/>
    <w:basedOn w:val="Normal"/>
    <w:qFormat/>
    <w:pPr>
      <w:spacing w:lineRule="auto" w:line="480"/>
    </w:pPr>
    <w:rPr/>
  </w:style>
  <w:style w:type="paragraph" w:styleId="CG-LeftInd05FL05">
    <w:name w:val="CG-Left Ind 0.5 FL 0.5"/>
    <w:basedOn w:val="Normal"/>
    <w:qFormat/>
    <w:pPr>
      <w:spacing w:before="0" w:after="240"/>
      <w:ind w:firstLine="720" w:start="720" w:end="0"/>
    </w:pPr>
    <w:rPr/>
  </w:style>
  <w:style w:type="paragraph" w:styleId="CG-LeftInd05">
    <w:name w:val="CG-Left Ind 0.5"/>
    <w:basedOn w:val="Normal"/>
    <w:qFormat/>
    <w:pPr>
      <w:spacing w:before="0" w:after="240"/>
      <w:ind w:hanging="0" w:start="720" w:end="0"/>
    </w:pPr>
    <w:rPr/>
  </w:style>
  <w:style w:type="paragraph" w:styleId="CG-LeftInd1">
    <w:name w:val="CG-Left Ind 1"/>
    <w:basedOn w:val="Normal"/>
    <w:qFormat/>
    <w:pPr>
      <w:spacing w:before="0" w:after="240"/>
      <w:ind w:hanging="0" w:start="144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Lines/>
      <w:spacing w:before="0" w:after="720"/>
      <w:ind w:hanging="0" w:start="504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ngleSp05">
    <w:name w:val="CG-Single Sp 0.5"/>
    <w:basedOn w:val="Normal"/>
    <w:qFormat/>
    <w:pPr>
      <w:spacing w:before="0" w:after="240"/>
      <w:ind w:firstLine="720" w:start="0" w:end="0"/>
    </w:pPr>
    <w:rPr/>
  </w:style>
  <w:style w:type="paragraph" w:styleId="CG-SingleSp1">
    <w:name w:val="CG-Single Sp 1"/>
    <w:basedOn w:val="Normal"/>
    <w:qFormat/>
    <w:pPr>
      <w:spacing w:before="0" w:after="240"/>
      <w:ind w:firstLine="1440" w:start="0" w:end="0"/>
    </w:pPr>
    <w:rPr/>
  </w:style>
  <w:style w:type="paragraph" w:styleId="CG-SingleSp">
    <w:name w:val="CG-Single Sp"/>
    <w:basedOn w:val="Normal"/>
    <w:qFormat/>
    <w:pPr>
      <w:spacing w:before="0" w:after="240"/>
    </w:pPr>
    <w:rPr/>
  </w:style>
  <w:style w:type="paragraph" w:styleId="CG-Title-Center-Bold">
    <w:name w:val="CG-Title-Center-Bold"/>
    <w:basedOn w:val="Normal"/>
    <w:next w:val="CG-SingleSp1"/>
    <w:qFormat/>
    <w:pPr>
      <w:keepNext w:val="true"/>
      <w:spacing w:before="0" w:after="240"/>
      <w:jc w:val="center"/>
    </w:pPr>
    <w:rPr>
      <w:b/>
    </w:rPr>
  </w:style>
  <w:style w:type="paragraph" w:styleId="CG-Title-Center-Underscore">
    <w:name w:val="CG-Title-Center-Underscore"/>
    <w:basedOn w:val="Normal"/>
    <w:next w:val="CG-SingleSp1"/>
    <w:qFormat/>
    <w:pPr>
      <w:keepNext w:val="true"/>
      <w:spacing w:before="0" w:after="240"/>
      <w:jc w:val="center"/>
    </w:pPr>
    <w:rPr>
      <w:u w:val="single"/>
    </w:rPr>
  </w:style>
  <w:style w:type="paragraph" w:styleId="CG-Title-Left-Bold">
    <w:name w:val="CG-Title-Left-Bold"/>
    <w:basedOn w:val="Normal"/>
    <w:next w:val="CG-SingleSp1"/>
    <w:qFormat/>
    <w:pPr>
      <w:keepNext w:val="true"/>
      <w:spacing w:before="0" w:after="240"/>
    </w:pPr>
    <w:rPr>
      <w:b/>
    </w:rPr>
  </w:style>
  <w:style w:type="paragraph" w:styleId="CG-Title-Left-Underscore">
    <w:name w:val="CG-Title-Left-Underscore"/>
    <w:basedOn w:val="Normal"/>
    <w:next w:val="CG-SingleSp1"/>
    <w:qFormat/>
    <w:pPr>
      <w:keepNext w:val="true"/>
      <w:spacing w:before="0" w:after="240"/>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G-NumberA">
    <w:name w:val="CG-Number A"/>
    <w:basedOn w:val="Normal"/>
    <w:qFormat/>
    <w:pPr>
      <w:numPr>
        <w:ilvl w:val="0"/>
        <w:numId w:val="16"/>
      </w:numPr>
      <w:spacing w:before="0" w:after="240"/>
    </w:pPr>
    <w:rPr/>
  </w:style>
  <w:style w:type="paragraph" w:styleId="CG-NumberL">
    <w:name w:val="CG-Number L"/>
    <w:basedOn w:val="Normal"/>
    <w:qFormat/>
    <w:pPr>
      <w:numPr>
        <w:ilvl w:val="0"/>
        <w:numId w:val="12"/>
      </w:numPr>
      <w:ind w:hanging="720" w:start="1440" w:end="0"/>
    </w:pPr>
    <w:rPr/>
  </w:style>
  <w:style w:type="paragraph" w:styleId="CG-Numberl1">
    <w:name w:val="CG-Number l1"/>
    <w:basedOn w:val="Normal"/>
    <w:qFormat/>
    <w:pPr>
      <w:numPr>
        <w:ilvl w:val="0"/>
        <w:numId w:val="20"/>
      </w:numPr>
      <w:ind w:hanging="720" w:start="1440" w:end="0"/>
    </w:pPr>
    <w:rPr/>
  </w:style>
  <w:style w:type="paragraph" w:styleId="CG-NumberR">
    <w:name w:val="CG-Number R"/>
    <w:basedOn w:val="Normal"/>
    <w:qFormat/>
    <w:pPr>
      <w:numPr>
        <w:ilvl w:val="0"/>
        <w:numId w:val="21"/>
      </w:numPr>
      <w:ind w:hanging="0" w:start="1440" w:end="0"/>
    </w:pPr>
    <w:rPr/>
  </w:style>
  <w:style w:type="paragraph" w:styleId="CG-Numberr1">
    <w:name w:val="CG-Number r1"/>
    <w:basedOn w:val="Normal"/>
    <w:qFormat/>
    <w:pPr>
      <w:numPr>
        <w:ilvl w:val="0"/>
        <w:numId w:val="17"/>
      </w:numPr>
      <w:tabs>
        <w:tab w:val="clear" w:pos="720"/>
      </w:tabs>
      <w:ind w:hanging="720" w:start="1440" w:end="0"/>
    </w:pPr>
    <w:rPr/>
  </w:style>
  <w:style w:type="paragraph" w:styleId="TableBullets">
    <w:name w:val="Table Bullets"/>
    <w:basedOn w:val="Normal"/>
    <w:qFormat/>
    <w:pPr>
      <w:numPr>
        <w:ilvl w:val="0"/>
        <w:numId w:val="23"/>
      </w:numPr>
      <w:spacing w:before="60" w:after="60"/>
    </w:pPr>
    <w:rPr/>
  </w:style>
  <w:style w:type="paragraph" w:styleId="ListBullet">
    <w:name w:val="List Bullet"/>
    <w:basedOn w:val="Normal"/>
    <w:qFormat/>
    <w:pPr>
      <w:numPr>
        <w:ilvl w:val="0"/>
        <w:numId w:val="11"/>
      </w:numPr>
    </w:pPr>
    <w:rPr/>
  </w:style>
  <w:style w:type="paragraph" w:styleId="CG-Bullet">
    <w:name w:val="CG-Bullet"/>
    <w:basedOn w:val="Normal"/>
    <w:qFormat/>
    <w:pPr>
      <w:numPr>
        <w:ilvl w:val="0"/>
        <w:numId w:val="14"/>
      </w:numPr>
    </w:pPr>
    <w:rPr/>
  </w:style>
  <w:style w:type="paragraph" w:styleId="FootnoteText">
    <w:name w:val="footnote text"/>
    <w:basedOn w:val="Normal"/>
    <w:pPr>
      <w:spacing w:before="0" w:after="240"/>
    </w:pPr>
    <w:rPr>
      <w:sz w:val="20"/>
    </w:rPr>
  </w:style>
  <w:style w:type="paragraph" w:styleId="FootnoteTextMore">
    <w:name w:val="Footnote TextMore"/>
    <w:basedOn w:val="FootnoteText"/>
    <w:qFormat/>
    <w:pPr>
      <w:spacing w:before="0" w:after="240"/>
      <w:ind w:hanging="0" w:start="720" w:end="0"/>
    </w:pPr>
    <w:rPr/>
  </w:style>
  <w:style w:type="paragraph" w:styleId="DocX97Comment">
    <w:name w:val="DocX97Comment"/>
    <w:basedOn w:val="Normal"/>
    <w:qFormat/>
    <w:pPr/>
    <w:rPr>
      <w:b/>
      <w:i/>
      <w:color w:val="FF0000"/>
      <w:sz w:val="16"/>
    </w:rPr>
  </w:style>
  <w:style w:type="paragraph" w:styleId="EndnoteText">
    <w:name w:val="endnote text"/>
    <w:basedOn w:val="Normal"/>
    <w:pPr>
      <w:spacing w:before="0" w:after="240"/>
    </w:pPr>
    <w:rPr>
      <w:sz w:val="20"/>
    </w:rPr>
  </w:style>
  <w:style w:type="paragraph" w:styleId="EndnoteTextMore">
    <w:name w:val="Endnote TextMore"/>
    <w:basedOn w:val="EndnoteText"/>
    <w:qFormat/>
    <w:pPr>
      <w:spacing w:before="0" w:after="240"/>
      <w:ind w:hanging="0" w:start="720" w:end="0"/>
    </w:pPr>
    <w:rPr/>
  </w:style>
  <w:style w:type="paragraph" w:styleId="Para1">
    <w:name w:val="Para1"/>
    <w:basedOn w:val="Normal"/>
    <w:qFormat/>
    <w:pPr>
      <w:suppressAutoHyphens w:val="true"/>
      <w:ind w:hanging="720" w:start="720" w:end="0"/>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20" w:start="220" w:end="0"/>
    </w:pPr>
    <w:rPr/>
  </w:style>
  <w:style w:type="paragraph" w:styleId="Index2">
    <w:name w:val="index 2"/>
    <w:basedOn w:val="Normal"/>
    <w:next w:val="Normal"/>
    <w:pPr>
      <w:ind w:hanging="220" w:start="440" w:end="0"/>
    </w:pPr>
    <w:rPr/>
  </w:style>
  <w:style w:type="paragraph" w:styleId="Index3">
    <w:name w:val="index 3"/>
    <w:basedOn w:val="Normal"/>
    <w:next w:val="Normal"/>
    <w:pPr>
      <w:ind w:hanging="220" w:start="660" w:end="0"/>
    </w:pPr>
    <w:rPr/>
  </w:style>
  <w:style w:type="paragraph" w:styleId="Index4">
    <w:name w:val="Index 4"/>
    <w:basedOn w:val="Normal"/>
    <w:next w:val="Normal"/>
    <w:qFormat/>
    <w:pPr>
      <w:ind w:hanging="220" w:start="880" w:end="0"/>
    </w:pPr>
    <w:rPr/>
  </w:style>
  <w:style w:type="paragraph" w:styleId="Index5">
    <w:name w:val="Index 5"/>
    <w:basedOn w:val="Normal"/>
    <w:next w:val="Normal"/>
    <w:qFormat/>
    <w:pPr>
      <w:ind w:hanging="220" w:start="1100" w:end="0"/>
    </w:pPr>
    <w:rPr/>
  </w:style>
  <w:style w:type="paragraph" w:styleId="Index6">
    <w:name w:val="Index 6"/>
    <w:basedOn w:val="Normal"/>
    <w:next w:val="Normal"/>
    <w:qFormat/>
    <w:pPr>
      <w:ind w:hanging="220" w:start="1320" w:end="0"/>
    </w:pPr>
    <w:rPr/>
  </w:style>
  <w:style w:type="paragraph" w:styleId="Index7">
    <w:name w:val="Index 7"/>
    <w:basedOn w:val="Normal"/>
    <w:next w:val="Normal"/>
    <w:qFormat/>
    <w:pPr>
      <w:ind w:hanging="220" w:start="1540" w:end="0"/>
    </w:pPr>
    <w:rPr/>
  </w:style>
  <w:style w:type="paragraph" w:styleId="Index8">
    <w:name w:val="Index 8"/>
    <w:basedOn w:val="Normal"/>
    <w:next w:val="Normal"/>
    <w:qFormat/>
    <w:pPr>
      <w:ind w:hanging="220" w:start="1760" w:end="0"/>
    </w:pPr>
    <w:rPr/>
  </w:style>
  <w:style w:type="paragraph" w:styleId="Index9">
    <w:name w:val="Index 9"/>
    <w:basedOn w:val="Normal"/>
    <w:next w:val="Normal"/>
    <w:qFormat/>
    <w:pPr>
      <w:ind w:hanging="220" w:start="198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20" w:start="220" w:end="0"/>
    </w:pPr>
    <w:rPr/>
  </w:style>
  <w:style w:type="paragraph" w:styleId="TableofFigures">
    <w:name w:val="Table of Figures"/>
    <w:basedOn w:val="Normal"/>
    <w:next w:val="Normal"/>
    <w:qFormat/>
    <w:pPr>
      <w:ind w:hanging="440" w:start="44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odyIndentB">
    <w:name w:val="Body Indent B"/>
    <w:basedOn w:val="Normal"/>
    <w:qFormat/>
    <w:pPr>
      <w:tabs>
        <w:tab w:val="clear" w:pos="720"/>
        <w:tab w:val="left" w:pos="-2400" w:leader="none"/>
      </w:tabs>
      <w:spacing w:lineRule="atLeast" w:line="240" w:before="120" w:after="120"/>
      <w:ind w:hanging="0" w:start="-2880" w:end="0"/>
      <w:jc w:val="both"/>
    </w:pPr>
    <w:rPr>
      <w:rFonts w:ascii="Palatino" w:hAnsi="Palatino" w:cs="Palatino"/>
      <w:kern w:val="2"/>
      <w:sz w:val="20"/>
    </w:rPr>
  </w:style>
  <w:style w:type="paragraph" w:styleId="BodyIndentC">
    <w:name w:val="Body Indent C"/>
    <w:basedOn w:val="Normal"/>
    <w:qFormat/>
    <w:pPr>
      <w:tabs>
        <w:tab w:val="clear" w:pos="720"/>
        <w:tab w:val="left" w:pos="-1800" w:leader="none"/>
      </w:tabs>
      <w:spacing w:lineRule="atLeast" w:line="240" w:before="120" w:after="0"/>
      <w:ind w:hanging="0" w:start="-2400" w:end="0"/>
      <w:jc w:val="both"/>
    </w:pPr>
    <w:rPr>
      <w:rFonts w:ascii="Palatino" w:hAnsi="Palatino" w:cs="Palatino"/>
      <w:kern w:val="2"/>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Washington DC</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2000-12-22T11:40:00Z</dcterms:created>
  <dc:creator>MMazzuchi</dc:creator>
  <dc:description/>
  <cp:keywords>F01\165297\</cp:keywords>
  <dc:language>en-CA</dc:language>
  <cp:lastModifiedBy>doconnel</cp:lastModifiedBy>
  <cp:lastPrinted>2000-12-20T14:15:00Z</cp:lastPrinted>
  <dcterms:modified xsi:type="dcterms:W3CDTF">2000-12-22T12:54:00Z</dcterms:modified>
  <cp:revision>5</cp:revision>
  <dc:subject/>
  <dc:title>Credit Protection Trust Master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FooterPlacement">
    <vt:lpwstr/>
  </property>
  <property fmtid="{D5CDD505-2E9C-101B-9397-08002B2CF9AE}" pid="3" name="DocLibrary">
    <vt:lpwstr/>
  </property>
  <property fmtid="{D5CDD505-2E9C-101B-9397-08002B2CF9AE}" pid="4" name="DocName">
    <vt:lpwstr/>
  </property>
  <property fmtid="{D5CDD505-2E9C-101B-9397-08002B2CF9AE}" pid="5" name="DocNumber">
    <vt:lpwstr/>
  </property>
  <property fmtid="{D5CDD505-2E9C-101B-9397-08002B2CF9AE}" pid="6" name="DocVersion">
    <vt:lpwstr/>
  </property>
  <property fmtid="{D5CDD505-2E9C-101B-9397-08002B2CF9AE}" pid="7" name="FooterRightSideText">
    <vt:lpwstr/>
  </property>
  <property fmtid="{D5CDD505-2E9C-101B-9397-08002B2CF9AE}" pid="8" name="SaveDocLibrary">
    <vt:lpwstr>[Washington DC</vt:lpwstr>
  </property>
  <property fmtid="{D5CDD505-2E9C-101B-9397-08002B2CF9AE}" pid="9" name="SaveDocName">
    <vt:lpwstr/>
  </property>
  <property fmtid="{D5CDD505-2E9C-101B-9397-08002B2CF9AE}" pid="10" name="SaveDocNumber">
    <vt:lpwstr> #136452</vt:lpwstr>
  </property>
  <property fmtid="{D5CDD505-2E9C-101B-9397-08002B2CF9AE}" pid="11" name="SaveDocVersion">
    <vt:lpwstr> v3]</vt:lpwstr>
  </property>
  <property fmtid="{D5CDD505-2E9C-101B-9397-08002B2CF9AE}" pid="12" name="SaveFooterRightSideText">
    <vt:lpwstr/>
  </property>
  <property fmtid="{D5CDD505-2E9C-101B-9397-08002B2CF9AE}" pid="13" name="iManageFooter">
    <vt:lpwstr>None</vt:lpwstr>
  </property>
</Properties>
</file>