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FREQUENTLY ASKED QUESTIONS</w:t>
      </w:r>
    </w:p>
    <w:p>
      <w:pPr>
        <w:pStyle w:val="Normal"/>
        <w:rPr/>
      </w:pPr>
      <w:r>
        <w:rPr/>
      </w:r>
    </w:p>
    <w:p>
      <w:pPr>
        <w:pStyle w:val="Normal"/>
        <w:rPr/>
      </w:pPr>
      <w:r>
        <w:rPr/>
      </w:r>
    </w:p>
    <w:p>
      <w:pPr>
        <w:pStyle w:val="Normal"/>
        <w:numPr>
          <w:ilvl w:val="0"/>
          <w:numId w:val="1"/>
        </w:numPr>
        <w:rPr>
          <w:b/>
        </w:rPr>
      </w:pPr>
      <w:r>
        <w:rPr>
          <w:b/>
        </w:rPr>
        <w:t>Should I expect to see scheduling cuts in the final AM cycle that were not reflected on the Intra day 2 Scheduled Quantity Reports?</w:t>
      </w:r>
    </w:p>
    <w:p>
      <w:pPr>
        <w:pStyle w:val="Normal"/>
        <w:rPr>
          <w:b/>
        </w:rPr>
      </w:pPr>
      <w:r>
        <w:rPr>
          <w:b/>
        </w:rPr>
      </w:r>
    </w:p>
    <w:p>
      <w:pPr>
        <w:pStyle w:val="BodyTextIndent"/>
        <w:rPr/>
      </w:pPr>
      <w:r>
        <w:rPr/>
        <w:t>No.  NNG does not make any new scheduling cuts during the Final 8:00 a.m. cycle.  Any scheduling cuts should be reflected on the scheduled quantity reports from the  Intra day 2 cycle.  If you see any discrepancy on your scheduled quantity reports, please notify your Customer Service Representative.</w:t>
      </w:r>
    </w:p>
    <w:p>
      <w:pPr>
        <w:pStyle w:val="Normal"/>
        <w:rPr/>
      </w:pPr>
      <w:r>
        <w:rPr/>
      </w:r>
    </w:p>
    <w:p>
      <w:pPr>
        <w:pStyle w:val="Normal"/>
        <w:numPr>
          <w:ilvl w:val="0"/>
          <w:numId w:val="1"/>
        </w:numPr>
        <w:rPr/>
      </w:pPr>
      <w:r>
        <w:rPr>
          <w:b/>
          <w:bCs/>
        </w:rPr>
        <w:t xml:space="preserve">How are nominations through a pool impacted if NNG allocates receipt or delivery point nominations,?  </w:t>
      </w:r>
    </w:p>
    <w:p>
      <w:pPr>
        <w:pStyle w:val="BodyTextIndent"/>
        <w:rPr/>
      </w:pPr>
      <w:r>
        <w:rPr/>
        <w:t>A point allocation balances through the pool by using the take away service requesters service type, i.e. Firm, Alternate or Interruptible.  {I DON”T UNDERSTAND THIS RESPONSE}</w:t>
      </w:r>
    </w:p>
    <w:p>
      <w:pPr>
        <w:pStyle w:val="Normal"/>
        <w:rPr/>
      </w:pPr>
      <w:r>
        <w:rPr/>
      </w:r>
    </w:p>
    <w:p>
      <w:pPr>
        <w:pStyle w:val="Normal"/>
        <w:numPr>
          <w:ilvl w:val="0"/>
          <w:numId w:val="1"/>
        </w:numPr>
        <w:rPr>
          <w:b/>
          <w:bCs/>
        </w:rPr>
      </w:pPr>
      <w:r>
        <w:rPr>
          <w:b/>
          <w:bCs/>
        </w:rPr>
        <w:t>How can I determine whether storage was allocated during a particular cycle?</w:t>
      </w:r>
    </w:p>
    <w:p>
      <w:pPr>
        <w:pStyle w:val="Normal"/>
        <w:rPr>
          <w:b/>
          <w:bCs/>
        </w:rPr>
      </w:pPr>
      <w:r>
        <w:rPr>
          <w:b/>
          <w:bCs/>
        </w:rPr>
      </w:r>
    </w:p>
    <w:p>
      <w:pPr>
        <w:pStyle w:val="BodyTextIndent"/>
        <w:rPr/>
      </w:pPr>
      <w:r>
        <w:rPr/>
        <w:t>You can determine if storage was allocated by viewing the indicator on the Batch Scheduled screen.   The indicator text has been clarified based on feedback at the Winter Operations Meeting.   If storage was allocated the indicator will read “</w:t>
      </w:r>
      <w:r>
        <w:rPr>
          <w:i/>
          <w:iCs/>
        </w:rPr>
        <w:t>Storage Allocated</w:t>
      </w:r>
      <w:r>
        <w:rPr/>
        <w:t>.”  If storage was not allocated, the indicator will read “</w:t>
      </w:r>
      <w:r>
        <w:rPr>
          <w:i/>
          <w:iCs/>
        </w:rPr>
        <w:t>Storage Not Allocated</w:t>
      </w:r>
      <w:r>
        <w:rPr/>
        <w:t xml:space="preserve">.”  </w:t>
      </w:r>
    </w:p>
    <w:p>
      <w:pPr>
        <w:pStyle w:val="Normal"/>
        <w:rPr/>
      </w:pPr>
      <w:r>
        <w:rPr/>
      </w:r>
    </w:p>
    <w:p>
      <w:pPr>
        <w:pStyle w:val="Normal"/>
        <w:numPr>
          <w:ilvl w:val="0"/>
          <w:numId w:val="1"/>
        </w:numPr>
        <w:rPr/>
      </w:pPr>
      <w:r>
        <w:rPr>
          <w:b/>
          <w:bCs/>
        </w:rPr>
        <w:t xml:space="preserve">Who should I contact if I have a measurement issue?  </w:t>
      </w:r>
    </w:p>
    <w:p>
      <w:pPr>
        <w:pStyle w:val="Normal"/>
        <w:rPr/>
      </w:pPr>
      <w:r>
        <w:rPr/>
      </w:r>
    </w:p>
    <w:p>
      <w:pPr>
        <w:pStyle w:val="Normal"/>
        <w:ind w:start="360" w:end="0"/>
        <w:rPr/>
      </w:pPr>
      <w:r>
        <w:rPr/>
        <w:t>Please contact one of the following individuals of our Measurement Desk</w:t>
      </w:r>
    </w:p>
    <w:p>
      <w:pPr>
        <w:pStyle w:val="Normal"/>
        <w:numPr>
          <w:ilvl w:val="1"/>
          <w:numId w:val="1"/>
        </w:numPr>
        <w:rPr/>
      </w:pPr>
      <w:r>
        <w:rPr/>
        <w:t xml:space="preserve">Mike Wagoner (713-853-7742) or </w:t>
      </w:r>
      <w:hyperlink r:id="rId2">
        <w:r>
          <w:rPr>
            <w:rStyle w:val="Hyperlink"/>
          </w:rPr>
          <w:t>Michael.Wagoner@enron.com</w:t>
        </w:r>
      </w:hyperlink>
    </w:p>
    <w:p>
      <w:pPr>
        <w:pStyle w:val="Normal"/>
        <w:numPr>
          <w:ilvl w:val="1"/>
          <w:numId w:val="1"/>
        </w:numPr>
        <w:rPr/>
      </w:pPr>
      <w:r>
        <w:rPr/>
        <w:t xml:space="preserve">Jodie Floyd (713-853-7742) or </w:t>
      </w:r>
      <w:hyperlink r:id="rId3">
        <w:r>
          <w:rPr>
            <w:rStyle w:val="Hyperlink"/>
          </w:rPr>
          <w:t>Jodie.Floyd@enron.com</w:t>
        </w:r>
      </w:hyperlink>
      <w:r>
        <w:rPr/>
        <w:t xml:space="preserve"> </w:t>
      </w:r>
    </w:p>
    <w:p>
      <w:pPr>
        <w:pStyle w:val="Normal"/>
        <w:ind w:start="360" w:end="0"/>
        <w:rPr/>
      </w:pPr>
      <w:r>
        <w:rPr/>
      </w:r>
    </w:p>
    <w:p>
      <w:pPr>
        <w:pStyle w:val="Normal"/>
        <w:ind w:start="360" w:end="0"/>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360"/>
        </w:tabs>
        <w:ind w:start="360" w:hanging="360"/>
      </w:pPr>
    </w:lvl>
    <w:lvl w:ilvl="1">
      <w:start w:val="1"/>
      <w:numFmt w:val="bullet"/>
      <w:lvlText w:val=""/>
      <w:lvlJc w:val="start"/>
      <w:pPr>
        <w:tabs>
          <w:tab w:val="num" w:pos="1080"/>
        </w:tabs>
        <w:ind w:start="1080" w:hanging="360"/>
      </w:pPr>
      <w:rPr>
        <w:rFonts w:ascii="Symbol" w:hAnsi="Symbol" w:cs="Symbol" w:hint="default"/>
      </w:rPr>
    </w:lvl>
    <w:lvl w:ilvl="2">
      <w:start w:val="1"/>
      <w:numFmt w:val="lowerRoman"/>
      <w:lvlText w:val="%3."/>
      <w:lvlJc w:val="end"/>
      <w:pPr>
        <w:tabs>
          <w:tab w:val="num" w:pos="1800"/>
        </w:tabs>
        <w:ind w:start="1800" w:hanging="180"/>
      </w:pPr>
    </w:lvl>
    <w:lvl w:ilvl="3">
      <w:start w:val="1"/>
      <w:numFmt w:val="decimal"/>
      <w:lvlText w:val="%4."/>
      <w:lvlJc w:val="start"/>
      <w:pPr>
        <w:tabs>
          <w:tab w:val="num" w:pos="2520"/>
        </w:tabs>
        <w:ind w:start="2520" w:hanging="360"/>
      </w:pPr>
    </w:lvl>
    <w:lvl w:ilvl="4">
      <w:start w:val="1"/>
      <w:numFmt w:val="lowerLetter"/>
      <w:lvlText w:val="%5."/>
      <w:lvlJc w:val="start"/>
      <w:pPr>
        <w:tabs>
          <w:tab w:val="num" w:pos="3240"/>
        </w:tabs>
        <w:ind w:start="3240" w:hanging="360"/>
      </w:pPr>
    </w:lvl>
    <w:lvl w:ilvl="5">
      <w:start w:val="1"/>
      <w:numFmt w:val="lowerRoman"/>
      <w:lvlText w:val="%6."/>
      <w:lvlJc w:val="end"/>
      <w:pPr>
        <w:tabs>
          <w:tab w:val="num" w:pos="3960"/>
        </w:tabs>
        <w:ind w:start="3960" w:hanging="180"/>
      </w:pPr>
    </w:lvl>
    <w:lvl w:ilvl="6">
      <w:start w:val="1"/>
      <w:numFmt w:val="decimal"/>
      <w:lvlText w:val="%7."/>
      <w:lvlJc w:val="start"/>
      <w:pPr>
        <w:tabs>
          <w:tab w:val="num" w:pos="4680"/>
        </w:tabs>
        <w:ind w:start="4680" w:hanging="360"/>
      </w:pPr>
    </w:lvl>
    <w:lvl w:ilvl="7">
      <w:start w:val="1"/>
      <w:numFmt w:val="lowerLetter"/>
      <w:lvlText w:val="%8."/>
      <w:lvlJc w:val="start"/>
      <w:pPr>
        <w:tabs>
          <w:tab w:val="num" w:pos="5400"/>
        </w:tabs>
        <w:ind w:start="5400" w:hanging="360"/>
      </w:pPr>
    </w:lvl>
    <w:lvl w:ilvl="8">
      <w:start w:val="1"/>
      <w:numFmt w:val="lowerRoman"/>
      <w:lvlText w:val="%9."/>
      <w:lvlJc w:val="end"/>
      <w:pPr>
        <w:tabs>
          <w:tab w:val="num" w:pos="6120"/>
        </w:tabs>
        <w:ind w:start="6120" w:hanging="180"/>
      </w:p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rFonts w:ascii="Symbol" w:hAnsi="Symbol" w:cs="Symbol"/>
    </w:rPr>
  </w:style>
  <w:style w:type="character" w:styleId="WW8Num2z1">
    <w:name w:val="WW8Num2z1"/>
    <w:qFormat/>
    <w:rPr>
      <w:rFonts w:ascii="Symbol" w:hAnsi="Symbol" w:cs="Symbol"/>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jc w:val="center"/>
    </w:pPr>
    <w:rPr>
      <w:b/>
      <w:bCs/>
      <w:sz w:val="32"/>
      <w:u w:val="single"/>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360" w:end="0"/>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Michael.Wagoner@enron.com" TargetMode="External"/><Relationship Id="rId3" Type="http://schemas.openxmlformats.org/officeDocument/2006/relationships/hyperlink" Target="mailto:Jodie.Floyd@enron.com" TargetMode="Externa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2001-09-27T20:37:00Z</dcterms:created>
  <dc:creator>lblair</dc:creator>
  <dc:description/>
  <dc:language>en-CA</dc:language>
  <cp:lastModifiedBy>scorman</cp:lastModifiedBy>
  <dcterms:modified xsi:type="dcterms:W3CDTF">2001-09-27T20:37:00Z</dcterms:modified>
  <cp:revision>2</cp:revision>
  <dc:subject/>
  <dc:title>FREQUENTLY ASKED QUESTIONS</dc:title>
</cp:coreProperties>
</file>