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Fort Pierce Repowering Project </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Fort Pierce Utilities Authority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Fairley/Mathew Gimble</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31,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Arleen Duran</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December 15,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December 15,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1"/>
                    <w:listEntry w:val="SELECT DEAL TYPE"/>
                    <w:listEntry w:val="NEW DEAL"/>
                    <w:listEntry w:val="SUBSEQUENT INVESTMENT"/>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6,000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6,000</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6,000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Pre-Approved I-DASH (1/31/01)</w:t>
            </w:r>
          </w:p>
        </w:tc>
        <w:tc>
          <w:tcPr>
            <w:tcW w:w="1332" w:type="dxa"/>
            <w:tcBorders/>
          </w:tcPr>
          <w:p>
            <w:pPr>
              <w:pStyle w:val="Normal"/>
              <w:ind w:end="-36"/>
              <w:jc w:val="end"/>
              <w:rPr>
                <w:rFonts w:ascii="Arial" w:hAnsi="Arial" w:cs="Arial"/>
                <w:sz w:val="20"/>
              </w:rPr>
            </w:pPr>
            <w:r>
              <w:rPr>
                <w:rFonts w:cs="Arial" w:ascii="Arial" w:hAnsi="Arial"/>
                <w:sz w:val="20"/>
              </w:rPr>
              <w:t>2,500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eastAsia="Arial" w:cs="Arial" w:ascii="Arial" w:hAnsi="Arial"/>
                <w:sz w:val="20"/>
              </w:rPr>
              <w:t xml:space="preserve">  </w:t>
            </w: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8,500</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Header"/>
        <w:widowControl/>
        <w:tabs>
          <w:tab w:val="clear" w:pos="4320"/>
          <w:tab w:val="clear" w:pos="8640"/>
        </w:tabs>
        <w:rPr>
          <w:rFonts w:ascii="Arial" w:hAnsi="Arial" w:cs="Arial"/>
          <w:szCs w:val="24"/>
        </w:rPr>
      </w:pPr>
      <w:r>
        <w:rPr>
          <w:rFonts w:cs="Arial" w:ascii="Arial" w:hAnsi="Arial"/>
          <w:szCs w:val="24"/>
        </w:rPr>
        <w:t>Fort Pierce Repowering Project L.L.C. (“FPRP”), a wholly owned subsidiary of Enron North America, was formed to re-power the existing power generation facilities of the H. D. King Plant owned by the Fort Pierce Utilities Authority (“FPUA”).  The re-powering will require FPUA to lease to FPRP 2.3 acres of land immediately adjacent to the existing power plant on which FPRP will build a power generation facility consisting of a General Electric 7FA or Mitsubishi 501F combustion turbine (the “Turbine”) and a heat recovery steam generator (“HRSG”).   A total of 259MWs will be generated by the facilities of which FPRP will own the 177MWs of net output from the Turbine and FPUA will continue to produce 82MWs from its #7 and #8 steam turbines currently in operation.  Although the combined-cycle heat rate of the facility will equal a 7,700 high heating value (“HHV”), steam will be sourced to FPUA at a heat rate of 9,500 HHV (an improvement to the 12,000 HHV steam it is currently generating from its two existing boilers).  Due to this arrangement, FPRP will receive a reduced net heat rate equivalent of 6,490 HHV.  FPUA intends to reimburse FPRP for consumed steam through a natural gas fuel allocation.</w:t>
      </w:r>
    </w:p>
    <w:p>
      <w:pPr>
        <w:pStyle w:val="Header"/>
        <w:widowControl/>
        <w:tabs>
          <w:tab w:val="clear" w:pos="4320"/>
          <w:tab w:val="clear" w:pos="8640"/>
        </w:tabs>
        <w:rPr>
          <w:rFonts w:ascii="Arial" w:hAnsi="Arial" w:cs="Arial"/>
          <w:szCs w:val="24"/>
        </w:rPr>
      </w:pPr>
      <w:r>
        <w:rPr>
          <w:rFonts w:cs="Arial" w:ascii="Arial" w:hAnsi="Arial"/>
          <w:szCs w:val="24"/>
        </w:rPr>
      </w:r>
    </w:p>
    <w:p>
      <w:pPr>
        <w:pStyle w:val="Header"/>
        <w:widowControl/>
        <w:tabs>
          <w:tab w:val="clear" w:pos="4320"/>
          <w:tab w:val="clear" w:pos="8640"/>
        </w:tabs>
        <w:rPr>
          <w:rFonts w:ascii="Arial" w:hAnsi="Arial" w:cs="Arial"/>
          <w:szCs w:val="24"/>
        </w:rPr>
      </w:pPr>
      <w:r>
        <w:rPr>
          <w:rFonts w:cs="Arial" w:ascii="Arial" w:hAnsi="Arial"/>
          <w:szCs w:val="24"/>
        </w:rPr>
        <w:t>There are still a number of outstanding issues with respect to this project, including permitting, completion of off-balance sheet financing, and the acquisition of a suitable turbine, which make it unfeasible to recommend approval for the entire project expenditures at this time.  As a result, the expenditures necessary to continue moving the project forward to achieve COD by summer 2002 and retain the obligated counterparties, including FPUA, have been broken out both financially and contractually from the main project documents.  It is solely these essential soft cost expenditures outlined below for which approval is being requested.</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rPr>
          <w:rFonts w:ascii="Arial" w:hAnsi="Arial" w:cs="Arial"/>
          <w:sz w:val="20"/>
        </w:rPr>
      </w:pPr>
      <w:r>
        <w:rPr>
          <w:rFonts w:cs="Arial" w:ascii="Arial" w:hAnsi="Arial"/>
          <w:sz w:val="20"/>
        </w:rPr>
        <w:t xml:space="preserve">Due to a downturn in the Florida power market and the increased capital costs associated with the Fort Pierce re-powering project, ENA is no longer pursuing the construction and ownership of this project.  In an effort to recoup the funds spent to date, ENA is seeking approval to spend certain additional sums to complete the project development (without committing to actually build) in order to have a potentially viable project to sell.  Funding requirements explained in this DASH relate solely to those funds necessary to complete the development, finalize the contracts with FPUA and permit the project to be effectively marketed to third parties by ENA’s Asset Marketing team.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steps required to affect a sale of the project to a third-party are outlined in the Milestones Section below.  FPRP is first transferred to the project’s unaffiliated off-balance sheet financing structure (“E-Next”).  Then FPRP, acting through it’s agent ENA, executes project documents with the municipal counter-party--the effectiveness of such documents is subject to several conditions precedent.  It is anticipated that the sale of FPRP by E-Next to a third-party (or to ENA for sale to such third party) would occur prior to or simultaneously with the effectiveness of FPRP’s obligations to the municipal counter-party under the project documents.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Satisfaction of the conditions precedent to effectiveness of the project documents (which include FPRP’s delivery of an effective date notice and FPRP’s execution of definitive EPC contracts for the project) must occur by January 1, 2002 or the project documents are terminated.  The January 1, 2002, outside effective date is determined by the time required to complete the project by summer 2003 – a key to successfully marketing the project.  DASH approval is required no later than September 14, 2001, in order to execute agreements with the heat recovery steam generator (“HRSG”) supplier that maintain FPRP’s rights to obtain the HRSG for the project, the availability of which is deemed critical to the ability to market the project.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Except for FPRP obligations arising prior to FPRP’s anticipated sale to a third-party, FPRP obligations under the project documents would be borne by the third-party purchaser of FPRP, as the transaction does not contemplate any ongoing participation by Enron (except for the participation required to finalize the development of the project) or its affiliates in the project after any such sale (except perhaps as the fuel supplier to FPRP).</w:t>
      </w:r>
    </w:p>
    <w:p>
      <w:pPr>
        <w:pStyle w:val="Normal"/>
        <w:rPr>
          <w:rFonts w:ascii="Arial" w:hAnsi="Arial" w:cs="Arial"/>
          <w:sz w:val="20"/>
        </w:rPr>
      </w:pPr>
      <w:r>
        <w:rPr>
          <w:rFonts w:cs="Arial" w:ascii="Arial" w:hAnsi="Arial"/>
          <w:sz w:val="20"/>
        </w:rPr>
      </w:r>
    </w:p>
    <w:p>
      <w:pPr>
        <w:pStyle w:val="BodyText"/>
        <w:rPr/>
      </w:pPr>
      <w:r>
        <w:rPr/>
        <w:t xml:space="preserve">In the event the project documents are signed but the project is not sold to a third party purchaser prior to January 1, 2002, the project documents with FPUA expire, without ever becoming effective, the FPRP membership interest held in the E-Next financing structure must be transferred back to ENA by December 31, 2001, and it is anticipated that the project will be terminated.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 ($000s)</w:t>
      </w:r>
    </w:p>
    <w:tbl>
      <w:tblPr>
        <w:tblW w:w="9270" w:type="dxa"/>
        <w:jc w:val="start"/>
        <w:tblInd w:w="378" w:type="dxa"/>
        <w:tblLayout w:type="fixed"/>
        <w:tblCellMar>
          <w:top w:w="0" w:type="dxa"/>
          <w:start w:w="108" w:type="dxa"/>
          <w:bottom w:w="0" w:type="dxa"/>
          <w:end w:w="108" w:type="dxa"/>
        </w:tblCellMar>
      </w:tblPr>
      <w:tblGrid>
        <w:gridCol w:w="3510"/>
        <w:gridCol w:w="1080"/>
        <w:gridCol w:w="540"/>
        <w:gridCol w:w="3060"/>
        <w:gridCol w:w="1080"/>
      </w:tblGrid>
      <w:tr>
        <w:trPr/>
        <w:tc>
          <w:tcPr>
            <w:tcW w:w="3510" w:type="dxa"/>
            <w:tcBorders>
              <w:top w:val="single" w:sz="4" w:space="0" w:color="000000"/>
              <w:start w:val="single" w:sz="4" w:space="0" w:color="000000"/>
              <w:bottom w:val="single" w:sz="4" w:space="0" w:color="000000"/>
            </w:tcBorders>
          </w:tcPr>
          <w:p>
            <w:pPr>
              <w:pStyle w:val="Normal"/>
              <w:snapToGrid w:val="false"/>
              <w:rPr>
                <w:rFonts w:ascii="Arial" w:hAnsi="Arial" w:cs="Arial"/>
                <w:sz w:val="20"/>
              </w:rPr>
            </w:pPr>
            <w:r>
              <w:rPr>
                <w:rFonts w:cs="Arial" w:ascii="Arial" w:hAnsi="Arial"/>
                <w:sz w:val="20"/>
              </w:rPr>
            </w:r>
          </w:p>
        </w:tc>
        <w:tc>
          <w:tcPr>
            <w:tcW w:w="1080" w:type="dxa"/>
            <w:tcBorders>
              <w:top w:val="single" w:sz="4" w:space="0" w:color="000000"/>
              <w:bottom w:val="single" w:sz="4" w:space="0" w:color="000000"/>
              <w:end w:val="single" w:sz="4" w:space="0" w:color="000000"/>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op w:val="single" w:sz="4" w:space="0" w:color="000000"/>
              <w:start w:val="single" w:sz="4" w:space="0" w:color="000000"/>
              <w:bottom w:val="single" w:sz="4" w:space="0" w:color="000000"/>
            </w:tcBorders>
          </w:tcPr>
          <w:p>
            <w:pPr>
              <w:pStyle w:val="Normal"/>
              <w:snapToGrid w:val="false"/>
              <w:jc w:val="end"/>
              <w:rPr>
                <w:rFonts w:ascii="Arial" w:hAnsi="Arial" w:cs="Arial"/>
                <w:sz w:val="20"/>
                <w:u w:val="single"/>
              </w:rPr>
            </w:pPr>
            <w:r>
              <w:rPr>
                <w:rFonts w:cs="Arial" w:ascii="Arial" w:hAnsi="Arial"/>
                <w:sz w:val="20"/>
                <w:u w:val="single"/>
              </w:rPr>
            </w:r>
          </w:p>
        </w:tc>
        <w:tc>
          <w:tcPr>
            <w:tcW w:w="1080" w:type="dxa"/>
            <w:tcBorders>
              <w:top w:val="single" w:sz="4" w:space="0" w:color="000000"/>
              <w:bottom w:val="single" w:sz="4" w:space="0" w:color="000000"/>
              <w:end w:val="single" w:sz="4" w:space="0" w:color="000000"/>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op w:val="single" w:sz="4" w:space="0" w:color="000000"/>
              <w:start w:val="single" w:sz="4" w:space="0" w:color="000000"/>
            </w:tcBorders>
          </w:tcPr>
          <w:p>
            <w:pPr>
              <w:pStyle w:val="Normal"/>
              <w:rPr>
                <w:rFonts w:ascii="Arial" w:hAnsi="Arial" w:cs="Arial"/>
                <w:sz w:val="20"/>
              </w:rPr>
            </w:pPr>
            <w:r>
              <w:rPr>
                <w:rFonts w:cs="Arial" w:ascii="Arial" w:hAnsi="Arial"/>
                <w:sz w:val="20"/>
              </w:rPr>
              <w:t>E-Next</w:t>
            </w:r>
          </w:p>
        </w:tc>
        <w:tc>
          <w:tcPr>
            <w:tcW w:w="1080" w:type="dxa"/>
            <w:tcBorders>
              <w:top w:val="single" w:sz="4" w:space="0" w:color="000000"/>
              <w:end w:val="single" w:sz="4" w:space="0" w:color="000000"/>
            </w:tcBorders>
          </w:tcPr>
          <w:p>
            <w:pPr>
              <w:pStyle w:val="Normal"/>
              <w:jc w:val="end"/>
              <w:rPr>
                <w:rFonts w:ascii="Arial" w:hAnsi="Arial" w:cs="Arial"/>
                <w:sz w:val="20"/>
              </w:rPr>
            </w:pPr>
            <w:r>
              <w:rPr>
                <w:rFonts w:cs="Arial" w:ascii="Arial" w:hAnsi="Arial"/>
                <w:sz w:val="20"/>
              </w:rPr>
              <w:t>8,500</w:t>
            </w:r>
          </w:p>
        </w:tc>
        <w:tc>
          <w:tcPr>
            <w:tcW w:w="540" w:type="dxa"/>
            <w:tcBorders>
              <w:top w:val="single" w:sz="4" w:space="0" w:color="000000"/>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top w:val="single" w:sz="4" w:space="0" w:color="000000"/>
              <w:start w:val="single" w:sz="4" w:space="0" w:color="000000"/>
            </w:tcBorders>
          </w:tcPr>
          <w:p>
            <w:pPr>
              <w:pStyle w:val="Normal"/>
              <w:ind w:end="-36"/>
              <w:rPr>
                <w:rFonts w:ascii="Arial" w:hAnsi="Arial" w:cs="Arial"/>
                <w:sz w:val="20"/>
              </w:rPr>
            </w:pPr>
            <w:r>
              <w:rPr>
                <w:rFonts w:cs="Arial" w:ascii="Arial" w:hAnsi="Arial"/>
                <w:sz w:val="20"/>
              </w:rPr>
              <w:t>Development Costs</w:t>
            </w:r>
          </w:p>
        </w:tc>
        <w:tc>
          <w:tcPr>
            <w:tcW w:w="1080" w:type="dxa"/>
            <w:tcBorders>
              <w:top w:val="single" w:sz="4" w:space="0" w:color="000000"/>
              <w:end w:val="single" w:sz="4" w:space="0" w:color="000000"/>
            </w:tcBorders>
          </w:tcPr>
          <w:p>
            <w:pPr>
              <w:pStyle w:val="Normal"/>
              <w:ind w:end="-36"/>
              <w:jc w:val="end"/>
              <w:rPr>
                <w:rFonts w:ascii="Arial" w:hAnsi="Arial" w:cs="Arial"/>
                <w:sz w:val="20"/>
              </w:rPr>
            </w:pPr>
            <w:r>
              <w:rPr>
                <w:rFonts w:cs="Arial" w:ascii="Arial" w:hAnsi="Arial"/>
                <w:sz w:val="20"/>
              </w:rPr>
              <w:t>3,500</w:t>
            </w:r>
          </w:p>
        </w:tc>
      </w:tr>
      <w:tr>
        <w:trPr/>
        <w:tc>
          <w:tcPr>
            <w:tcW w:w="3510" w:type="dxa"/>
            <w:tcBorders>
              <w:start w:val="single" w:sz="4" w:space="0" w:color="000000"/>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rFonts w:ascii="Arial" w:hAnsi="Arial" w:cs="Arial"/>
                <w:sz w:val="20"/>
              </w:rPr>
            </w:pPr>
            <w:r>
              <w:rPr>
                <w:rFonts w:cs="Arial" w:ascii="Arial" w:hAnsi="Arial"/>
                <w:sz w:val="20"/>
              </w:rPr>
              <w:t>Legal (to date and projected)</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1,728</w:t>
            </w:r>
          </w:p>
        </w:tc>
      </w:tr>
      <w:tr>
        <w:trPr/>
        <w:tc>
          <w:tcPr>
            <w:tcW w:w="3510" w:type="dxa"/>
            <w:tcBorders>
              <w:start w:val="single" w:sz="4" w:space="0" w:color="000000"/>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rFonts w:ascii="Arial" w:hAnsi="Arial" w:cs="Arial"/>
                <w:sz w:val="20"/>
              </w:rPr>
            </w:pPr>
            <w:r>
              <w:rPr>
                <w:rFonts w:cs="Arial" w:ascii="Arial" w:hAnsi="Arial"/>
                <w:sz w:val="20"/>
              </w:rPr>
              <w:t>EE&amp;CC (to date and projected)</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987</w:t>
            </w:r>
          </w:p>
        </w:tc>
      </w:tr>
      <w:tr>
        <w:trPr/>
        <w:tc>
          <w:tcPr>
            <w:tcW w:w="3510" w:type="dxa"/>
            <w:tcBorders>
              <w:start w:val="single" w:sz="4" w:space="0" w:color="000000"/>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pPr>
            <w:r>
              <w:rPr>
                <w:rFonts w:cs="Arial" w:ascii="Arial" w:hAnsi="Arial"/>
                <w:sz w:val="20"/>
              </w:rPr>
              <w:t>3</w:t>
            </w:r>
            <w:r>
              <w:rPr>
                <w:rFonts w:cs="Arial" w:ascii="Arial" w:hAnsi="Arial"/>
                <w:sz w:val="20"/>
                <w:vertAlign w:val="superscript"/>
              </w:rPr>
              <w:t>rd</w:t>
            </w:r>
            <w:r>
              <w:rPr>
                <w:rFonts w:cs="Arial" w:ascii="Arial" w:hAnsi="Arial"/>
                <w:sz w:val="20"/>
              </w:rPr>
              <w:t xml:space="preserve"> Party Engineering</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529</w:t>
            </w:r>
          </w:p>
        </w:tc>
      </w:tr>
      <w:tr>
        <w:trPr/>
        <w:tc>
          <w:tcPr>
            <w:tcW w:w="3510" w:type="dxa"/>
            <w:tcBorders>
              <w:start w:val="single" w:sz="4" w:space="0" w:color="000000"/>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rFonts w:ascii="Arial" w:hAnsi="Arial" w:cs="Arial"/>
                <w:sz w:val="20"/>
              </w:rPr>
            </w:pPr>
            <w:r>
              <w:rPr>
                <w:rFonts w:cs="Arial" w:ascii="Arial" w:hAnsi="Arial"/>
                <w:sz w:val="20"/>
              </w:rPr>
              <w:t>CMI Cancellation Fee</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599</w:t>
            </w:r>
          </w:p>
        </w:tc>
      </w:tr>
      <w:tr>
        <w:trPr/>
        <w:tc>
          <w:tcPr>
            <w:tcW w:w="3510" w:type="dxa"/>
            <w:tcBorders>
              <w:start w:val="single" w:sz="4" w:space="0" w:color="000000"/>
            </w:tcBorders>
          </w:tcPr>
          <w:p>
            <w:pPr>
              <w:pStyle w:val="Normal"/>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rFonts w:ascii="Arial" w:hAnsi="Arial" w:cs="Arial"/>
                <w:sz w:val="20"/>
              </w:rPr>
            </w:pPr>
            <w:r>
              <w:rPr>
                <w:rFonts w:cs="Arial" w:ascii="Arial" w:hAnsi="Arial"/>
                <w:sz w:val="20"/>
              </w:rPr>
              <w:t>Development Fees</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126</w:t>
            </w:r>
          </w:p>
        </w:tc>
      </w:tr>
      <w:tr>
        <w:trPr/>
        <w:tc>
          <w:tcPr>
            <w:tcW w:w="3510" w:type="dxa"/>
            <w:tcBorders>
              <w:start w:val="single" w:sz="4" w:space="0" w:color="000000"/>
            </w:tcBorders>
          </w:tcPr>
          <w:p>
            <w:pPr>
              <w:pStyle w:val="Normal"/>
              <w:snapToGrid w:val="false"/>
              <w:rPr>
                <w:rFonts w:ascii="Arial" w:hAnsi="Arial" w:cs="Arial"/>
                <w:sz w:val="20"/>
              </w:rPr>
            </w:pPr>
            <w:r>
              <w:rPr>
                <w:rFonts w:cs="Arial" w:ascii="Arial" w:hAnsi="Arial"/>
                <w:sz w:val="20"/>
              </w:rPr>
            </w:r>
          </w:p>
        </w:tc>
        <w:tc>
          <w:tcPr>
            <w:tcW w:w="1080" w:type="dxa"/>
            <w:tcBorders>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tcBorders>
          </w:tcPr>
          <w:p>
            <w:pPr>
              <w:pStyle w:val="Normal"/>
              <w:ind w:end="-36"/>
              <w:rPr>
                <w:rFonts w:ascii="Arial" w:hAnsi="Arial" w:cs="Arial"/>
                <w:sz w:val="20"/>
              </w:rPr>
            </w:pPr>
            <w:r>
              <w:rPr>
                <w:rFonts w:cs="Arial" w:ascii="Arial" w:hAnsi="Arial"/>
                <w:sz w:val="20"/>
              </w:rPr>
              <w:t>10% E-Next Contingency</w:t>
            </w:r>
          </w:p>
        </w:tc>
        <w:tc>
          <w:tcPr>
            <w:tcW w:w="1080" w:type="dxa"/>
            <w:tcBorders>
              <w:end w:val="single" w:sz="4" w:space="0" w:color="000000"/>
            </w:tcBorders>
          </w:tcPr>
          <w:p>
            <w:pPr>
              <w:pStyle w:val="Normal"/>
              <w:ind w:end="-36"/>
              <w:jc w:val="end"/>
              <w:rPr>
                <w:rFonts w:ascii="Arial" w:hAnsi="Arial" w:cs="Arial"/>
                <w:sz w:val="20"/>
              </w:rPr>
            </w:pPr>
            <w:r>
              <w:rPr>
                <w:rFonts w:cs="Arial" w:ascii="Arial" w:hAnsi="Arial"/>
                <w:sz w:val="20"/>
              </w:rPr>
              <w:t>745</w:t>
            </w:r>
          </w:p>
        </w:tc>
      </w:tr>
      <w:tr>
        <w:trPr/>
        <w:tc>
          <w:tcPr>
            <w:tcW w:w="3510" w:type="dxa"/>
            <w:tcBorders>
              <w:start w:val="single" w:sz="4" w:space="0" w:color="000000"/>
              <w:bottom w:val="single" w:sz="4" w:space="0" w:color="000000"/>
            </w:tcBorders>
          </w:tcPr>
          <w:p>
            <w:pPr>
              <w:pStyle w:val="Normal"/>
              <w:snapToGrid w:val="false"/>
              <w:rPr>
                <w:rFonts w:ascii="Arial" w:hAnsi="Arial" w:cs="Arial"/>
                <w:sz w:val="20"/>
              </w:rPr>
            </w:pPr>
            <w:r>
              <w:rPr>
                <w:rFonts w:cs="Arial" w:ascii="Arial" w:hAnsi="Arial"/>
                <w:sz w:val="20"/>
              </w:rPr>
            </w:r>
          </w:p>
        </w:tc>
        <w:tc>
          <w:tcPr>
            <w:tcW w:w="1080" w:type="dxa"/>
            <w:tcBorders>
              <w:bottom w:val="single" w:sz="4" w:space="0" w:color="000000"/>
              <w:end w:val="single" w:sz="4"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start w:val="single" w:sz="4" w:space="0" w:color="000000"/>
              <w:bottom w:val="single" w:sz="4" w:space="0" w:color="000000"/>
            </w:tcBorders>
          </w:tcPr>
          <w:p>
            <w:pPr>
              <w:pStyle w:val="Normal"/>
              <w:ind w:end="-36"/>
              <w:rPr>
                <w:rFonts w:ascii="Arial" w:hAnsi="Arial" w:cs="Arial"/>
                <w:sz w:val="20"/>
              </w:rPr>
            </w:pPr>
            <w:r>
              <w:rPr>
                <w:rFonts w:cs="Arial" w:ascii="Arial" w:hAnsi="Arial"/>
                <w:sz w:val="20"/>
              </w:rPr>
              <w:t xml:space="preserve">Other </w:t>
            </w:r>
          </w:p>
        </w:tc>
        <w:tc>
          <w:tcPr>
            <w:tcW w:w="1080" w:type="dxa"/>
            <w:tcBorders>
              <w:bottom w:val="single" w:sz="4" w:space="0" w:color="000000"/>
              <w:end w:val="single" w:sz="4" w:space="0" w:color="000000"/>
            </w:tcBorders>
          </w:tcPr>
          <w:p>
            <w:pPr>
              <w:pStyle w:val="Normal"/>
              <w:ind w:end="-36"/>
              <w:jc w:val="end"/>
              <w:rPr>
                <w:rFonts w:ascii="Arial" w:hAnsi="Arial" w:cs="Arial"/>
                <w:sz w:val="20"/>
              </w:rPr>
            </w:pPr>
            <w:r>
              <w:rPr>
                <w:rFonts w:cs="Arial" w:ascii="Arial" w:hAnsi="Arial"/>
                <w:sz w:val="20"/>
              </w:rPr>
              <w:t>286</w:t>
            </w:r>
          </w:p>
        </w:tc>
      </w:tr>
      <w:tr>
        <w:trPr/>
        <w:tc>
          <w:tcPr>
            <w:tcW w:w="3510" w:type="dxa"/>
            <w:tcBorders>
              <w:top w:val="single" w:sz="4" w:space="0" w:color="000000"/>
              <w:start w:val="single" w:sz="4" w:space="0" w:color="000000"/>
              <w:bottom w:val="single" w:sz="4" w:space="0" w:color="000000"/>
            </w:tcBorders>
          </w:tcPr>
          <w:p>
            <w:pPr>
              <w:pStyle w:val="Normal"/>
              <w:rPr>
                <w:rFonts w:ascii="Arial" w:hAnsi="Arial" w:cs="Arial"/>
                <w:sz w:val="20"/>
              </w:rPr>
            </w:pPr>
            <w:r>
              <w:rPr>
                <w:rFonts w:cs="Arial" w:ascii="Arial" w:hAnsi="Arial"/>
                <w:sz w:val="20"/>
              </w:rPr>
              <w:t>Total</w:t>
            </w:r>
          </w:p>
        </w:tc>
        <w:tc>
          <w:tcPr>
            <w:tcW w:w="1080" w:type="dxa"/>
            <w:tcBorders>
              <w:top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8,500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3060" w:type="dxa"/>
            <w:tcBorders>
              <w:top w:val="single" w:sz="4" w:space="0" w:color="000000"/>
              <w:start w:val="single" w:sz="4" w:space="0" w:color="000000"/>
              <w:bottom w:val="single" w:sz="4" w:space="0" w:color="000000"/>
            </w:tcBorders>
          </w:tcPr>
          <w:p>
            <w:pPr>
              <w:pStyle w:val="Normal"/>
              <w:ind w:end="-36"/>
              <w:rPr>
                <w:rFonts w:ascii="Arial" w:hAnsi="Arial" w:cs="Arial"/>
                <w:sz w:val="20"/>
              </w:rPr>
            </w:pPr>
            <w:r>
              <w:rPr>
                <w:rFonts w:cs="Arial" w:ascii="Arial" w:hAnsi="Arial"/>
                <w:sz w:val="20"/>
              </w:rPr>
              <w:t>TOTAL</w:t>
            </w:r>
          </w:p>
        </w:tc>
        <w:tc>
          <w:tcPr>
            <w:tcW w:w="1080" w:type="dxa"/>
            <w:tcBorders>
              <w:top w:val="single" w:sz="4" w:space="0" w:color="000000"/>
              <w:bottom w:val="single" w:sz="4" w:space="0" w:color="000000"/>
              <w:end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8,500</w:t>
            </w:r>
            <w:r/>
            <w:r>
              <w:rPr>
                <w:sz w:val="20"/>
                <w:rFonts w:cs="Arial" w:ascii="Arial" w:hAnsi="Arial"/>
                <w:lang w:val="en-CA" w:eastAsia="en-CA"/>
              </w:rPr>
              <w:fldChar w:fldCharType="end"/>
            </w:r>
            <w:r>
              <w:rPr>
                <w:rFonts w:cs="Arial" w:ascii="Arial" w:hAnsi="Arial"/>
                <w:sz w:val="20"/>
                <w:lang w:val="en-CA" w:eastAsia="en-CA"/>
              </w:rPr>
            </w:r>
          </w:p>
        </w:tc>
      </w:tr>
    </w:tbl>
    <w:p>
      <w:pPr>
        <w:pStyle w:val="Heading2"/>
        <w:widowControl/>
        <w:pBdr>
          <w:top w:val="single" w:sz="8" w:space="1" w:color="000000"/>
        </w:pBdr>
        <w:ind w:hanging="0" w:start="0" w:end="-36"/>
        <w:rPr>
          <w:rFonts w:ascii="Arial" w:hAnsi="Arial" w:cs="Arial"/>
          <w:i w:val="false"/>
          <w:i w:val="false"/>
        </w:rPr>
      </w:pPr>
      <w:r>
        <w:rPr>
          <w:rFonts w:cs="Arial" w:ascii="Arial" w:hAnsi="Arial"/>
          <w:i w:val="false"/>
        </w:rPr>
      </w:r>
    </w:p>
    <w:p>
      <w:pPr>
        <w:pStyle w:val="Normal"/>
        <w:rPr>
          <w:rFonts w:ascii="Arial" w:hAnsi="Arial" w:cs="Arial"/>
          <w:i/>
          <w:i/>
        </w:rPr>
      </w:pPr>
      <w:r>
        <w:rPr>
          <w:rFonts w:cs="Arial" w:ascii="Arial" w:hAnsi="Arial"/>
          <w:i/>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rFonts w:ascii="Arial" w:hAnsi="Arial" w:cs="Arial"/>
          <w:sz w:val="20"/>
        </w:rPr>
      </w:pPr>
      <w:r>
        <w:rPr>
          <w:rFonts w:cs="Arial" w:ascii="Arial" w:hAnsi="Arial"/>
          <w:sz w:val="20"/>
        </w:rPr>
        <w:t xml:space="preserve">Due to current wholesale power market conditions in Florida, ENA’s current plan is to sell FPRP to a third-party. </w:t>
        <w:tab/>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rFonts w:ascii="Arial" w:hAnsi="Arial" w:cs="Arial"/>
          <w:sz w:val="20"/>
        </w:rPr>
      </w:pPr>
      <w:r>
        <w:rPr>
          <w:rFonts w:cs="Arial" w:ascii="Arial" w:hAnsi="Arial"/>
          <w:b/>
          <w:sz w:val="20"/>
        </w:rPr>
        <w:t>EXIT STRATEGY</w:t>
      </w:r>
    </w:p>
    <w:p>
      <w:pPr>
        <w:pStyle w:val="Normal"/>
        <w:rPr>
          <w:rFonts w:ascii="Arial" w:hAnsi="Arial" w:cs="Arial"/>
          <w:sz w:val="20"/>
        </w:rPr>
      </w:pPr>
      <w:r>
        <w:rPr>
          <w:rFonts w:cs="Arial" w:ascii="Arial" w:hAnsi="Arial"/>
          <w:sz w:val="20"/>
        </w:rPr>
        <w:t xml:space="preserve">Upon finalizing the development of the project and executing the contracts with FPUA, the project will be marketed to third-parties by ENA’s Asset Marketing team.  </w:t>
      </w:r>
      <w:r>
        <w:br w:type="page"/>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Construction / Technology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sz w:val="20"/>
              </w:rPr>
            </w:pPr>
            <w:r>
              <w:rPr>
                <w:rFonts w:cs="Arial" w:ascii="Arial" w:hAnsi="Arial"/>
                <w:sz w:val="20"/>
              </w:rPr>
              <w:t>Required amendments to Mitsubishi turbine contracts required in order to use the turbine at the project have not yet been obtained, but they are expected.  Mitsubishi will not guarantee against any detrimental impacts that super saturation (“fogging”) of turbine inlet air might have on the turbine during the first year of operation despite the procedure being used industry-wide.  Therefore, any impact from fogging would not be covered during the duration of the warranty.</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The Mitsubishi technology is viewed by some as ‘untried’ and therefore inferior to more proven turbine configurations (i.e., GE), as some of the components to be used in conjunction with the Mitsubishi 501F, including the compressor, are essentially earlier Westinghouse models (model #3) that experienced some startup and operational challenges.  Additional consulting costs and possibly increased O&amp;M fees might be incurred to remedy any unexpected start-up costs.  The ‘make whole’ payments negotiated by FPUA by reason of any downtime of the Mitsubishi equipment will highlight the concerns to a purchaser.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pPr>
            <w:r>
              <w:rPr>
                <w:rFonts w:cs="Arial" w:ascii="Arial" w:hAnsi="Arial"/>
                <w:b/>
                <w:bCs/>
                <w:sz w:val="20"/>
              </w:rPr>
              <w:t>Legal Risk Rating = 2</w:t>
            </w:r>
            <w:r>
              <w:rPr>
                <w:rFonts w:cs="Arial" w:ascii="Arial" w:hAnsi="Arial"/>
                <w:sz w:val="20"/>
              </w:rPr>
              <w:t>.  See attached Legal Risk Memorandum.</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Environmental / Permitting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sz w:val="20"/>
              </w:rPr>
            </w:pPr>
            <w:r>
              <w:rPr>
                <w:rFonts w:cs="Arial" w:ascii="Arial" w:hAnsi="Arial"/>
                <w:sz w:val="20"/>
              </w:rPr>
              <w:t>Remediation of contamination on the site from a 1997 fuel oil tank leak was completed by FPUA, but a bunker oil layer placed under part of the site in the 1940’s may have to be removed (anticipate to occur as part of facility construction).  Even though FPRP has termination rights after project documents are effective, the FPRP purchaser may be reluctant to assume the cleanup risk if it thinks it might not develop the project to completion.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sz w:val="20"/>
              </w:rPr>
            </w:pPr>
            <w:r>
              <w:rPr>
                <w:rFonts w:cs="Arial" w:ascii="Arial" w:hAnsi="Arial"/>
                <w:sz w:val="20"/>
              </w:rPr>
              <w:t>The project is higher cost per kW/h than recent competing offerings in Florida.  Nevertheless, due to the supply/demand in Florida and FPRP’s location near transmission and load centers, a purchaser could reasonably believe that over time a properly located and constructed combined cycle plant will have significant value above Project cost.  For purpose of the DASH, the Project has been evaluated from the perspective of a third party purchaser using both power and gas curves purchased from an independent consultant, ICF.</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Delayed Execution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sz w:val="20"/>
              </w:rPr>
            </w:pPr>
            <w:r>
              <w:rPr>
                <w:rFonts w:cs="Arial" w:ascii="Arial" w:hAnsi="Arial"/>
                <w:sz w:val="20"/>
              </w:rPr>
              <w:t>Delay in the municipal counterparties’ acceptance of any lender-required changes to the project documents or purchaser delay in negotiating a sale could result in delayed execution of project documents/sale documents, either of which increases the risk the project documents will not be made effective prior to their expiration on 1/1/02.  There is no assurance the effective date could be pushed back, but if it were the project may not be able to be marketed as a Summer ’03 project, making it less attractive to the market.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Third Party Approval Risk</w:t>
            </w:r>
          </w:p>
        </w:tc>
        <w:tc>
          <w:tcPr>
            <w:tcW w:w="5670" w:type="dxa"/>
            <w:tcBorders>
              <w:top w:val="single" w:sz="6" w:space="0" w:color="000000"/>
              <w:start w:val="single" w:sz="6" w:space="0" w:color="000000"/>
              <w:bottom w:val="single" w:sz="6" w:space="0" w:color="000000"/>
              <w:end w:val="single" w:sz="6" w:space="0" w:color="000000"/>
            </w:tcBorders>
          </w:tcPr>
          <w:p>
            <w:pPr>
              <w:pStyle w:val="Normal"/>
              <w:ind w:end="-36"/>
              <w:rPr>
                <w:rFonts w:ascii="Arial" w:hAnsi="Arial" w:cs="Arial"/>
                <w:sz w:val="20"/>
              </w:rPr>
            </w:pPr>
            <w:r>
              <w:rPr>
                <w:rFonts w:cs="Arial" w:ascii="Arial" w:hAnsi="Arial"/>
                <w:sz w:val="20"/>
              </w:rPr>
              <w:t>The project documents cannot be made effective until all conditions precedent are met, some of which are not in FPRP’s control (including execution of EPC contracts, receipt of land use approvals, and execution of documents by the City of Fort Pierce and execution of turbine-related documents by Mitsubishi).  If the conditions outside of FPRP’s control are not timely obtained, the offering may have to be withdrawn, and ultimately the project documents would terminate.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Balance Sheet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The project currently off-balance sheet until the earlier of sale of the project or 12/31/01.  Under the current arrangements with E-Next’t lenders, if FPRP is not sold to a third party by 12/31/01, FPRP must be sold back to ENA by that date.</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KEY SUCCESS FACTORS</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bCs/>
                <w:szCs w:val="24"/>
              </w:rPr>
            </w:pPr>
            <w:r>
              <w:rPr>
                <w:rFonts w:eastAsia="Arial" w:cs="Arial" w:ascii="Arial" w:hAnsi="Arial"/>
                <w:bCs/>
                <w:szCs w:val="24"/>
              </w:rPr>
              <w:t xml:space="preserve">                      </w:t>
            </w:r>
            <w:r>
              <w:rPr>
                <w:rFonts w:cs="Arial" w:ascii="Arial" w:hAnsi="Arial"/>
                <w:bCs/>
                <w:szCs w:val="24"/>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bl>
    <w:p>
      <w:pPr>
        <w:pStyle w:val="Header"/>
        <w:widowControl/>
        <w:tabs>
          <w:tab w:val="clear" w:pos="4320"/>
          <w:tab w:val="clear" w:pos="8640"/>
        </w:tabs>
        <w:rPr>
          <w:rFonts w:ascii="Arial" w:hAnsi="Arial" w:cs="Arial"/>
        </w:rPr>
      </w:pPr>
      <w:r>
        <w:rPr>
          <w:rFonts w:cs="Arial" w:ascii="Arial" w:hAnsi="Arial"/>
        </w:rPr>
        <w:b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rPr>
          <w:rFonts w:ascii="Arial" w:hAnsi="Arial" w:cs="Arial"/>
          <w:b/>
          <w:sz w:val="20"/>
        </w:rPr>
      </w:pPr>
      <w:r>
        <w:rPr>
          <w:rFonts w:cs="Arial" w:ascii="Arial" w:hAnsi="Arial"/>
          <w:b/>
          <w:sz w:val="20"/>
        </w:rPr>
      </w:r>
    </w:p>
    <w:p>
      <w:pPr>
        <w:pStyle w:val="Normal"/>
        <w:rPr>
          <w:rFonts w:ascii="Arial" w:hAnsi="Arial" w:cs="Arial"/>
          <w:bCs/>
          <w:sz w:val="20"/>
        </w:rPr>
      </w:pPr>
      <w:r>
        <w:rPr>
          <w:rFonts w:cs="Arial" w:ascii="Arial" w:hAnsi="Arial"/>
          <w:bCs/>
          <w:sz w:val="20"/>
        </w:rPr>
        <w:t>The Origination Team has already spent or committed capital up to Approval Amount applied for herein, therefore, inability to complete the Exit Strategy as described above could lead to a total loss of the investment in this project.</w:t>
      </w:r>
    </w:p>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t>The MHI turbine contemplated for use in this Project is being offered for sale separately and may not be available for sale with the Project.  This will require the buyer to purchase a turbine to complete project development.</w:t>
      </w:r>
    </w:p>
    <w:p>
      <w:pPr>
        <w:pStyle w:val="Normal"/>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DASH Approval will be required for any further investment in or sale of this project.</w:t>
      </w:r>
    </w:p>
    <w:p>
      <w:pPr>
        <w:pStyle w:val="Normal"/>
        <w:rPr>
          <w:rFonts w:ascii="Arial" w:hAnsi="Arial" w:eastAsia="Arial" w:cs="Arial"/>
          <w:b/>
          <w:sz w:val="20"/>
        </w:rPr>
      </w:pPr>
      <w:r>
        <w:rPr>
          <w:rFonts w:eastAsia="Arial" w:cs="Arial" w:ascii="Arial" w:hAnsi="Arial"/>
          <w:b/>
          <w:sz w:val="20"/>
        </w:rPr>
        <w:t xml:space="preserve"> </w:t>
      </w:r>
      <w:r>
        <w:br w:type="page"/>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Header"/>
        <w:widowControl/>
        <w:tabs>
          <w:tab w:val="clear" w:pos="4320"/>
          <w:tab w:val="clear" w:pos="8640"/>
        </w:tabs>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szCs w:val="24"/>
        </w:rPr>
      </w:pPr>
      <w:r>
        <w:rPr>
          <w:rFonts w:cs="Arial" w:ascii="Arial" w:hAnsi="Arial"/>
          <w:szCs w:val="24"/>
        </w:rPr>
        <w:t>The timeline for the Project has been developed in light of anticipated execution of project documents, financing requirements, delivery of equipment, and the scope of engineering.</w:t>
      </w:r>
    </w:p>
    <w:p>
      <w:pPr>
        <w:pStyle w:val="Header"/>
        <w:widowControl/>
        <w:tabs>
          <w:tab w:val="clear" w:pos="4320"/>
          <w:tab w:val="clear" w:pos="8640"/>
        </w:tabs>
        <w:rPr>
          <w:rFonts w:ascii="Arial" w:hAnsi="Arial" w:cs="Arial"/>
          <w:szCs w:val="24"/>
        </w:rPr>
      </w:pPr>
      <w:r>
        <w:rPr>
          <w:rFonts w:cs="Arial" w:ascii="Arial" w:hAnsi="Arial"/>
          <w:szCs w:val="24"/>
        </w:rPr>
      </w:r>
    </w:p>
    <w:tbl>
      <w:tblPr>
        <w:tblW w:w="10548" w:type="dxa"/>
        <w:jc w:val="start"/>
        <w:tblInd w:w="360" w:type="dxa"/>
        <w:tblLayout w:type="fixed"/>
        <w:tblCellMar>
          <w:top w:w="0" w:type="dxa"/>
          <w:start w:w="108" w:type="dxa"/>
          <w:bottom w:w="0" w:type="dxa"/>
          <w:end w:w="108" w:type="dxa"/>
        </w:tblCellMar>
      </w:tblPr>
      <w:tblGrid>
        <w:gridCol w:w="1998"/>
        <w:gridCol w:w="8550"/>
      </w:tblGrid>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09/07/2001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E-Next commences review of project documents</w:t>
            </w:r>
          </w:p>
        </w:tc>
      </w:tr>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09/28/2001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Receive E-Next comments on project documents/obtain FPUA agreement to changes</w:t>
            </w:r>
          </w:p>
        </w:tc>
      </w:tr>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09/28/2001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Transfer FPRP membership interests to E-Next</w:t>
            </w:r>
          </w:p>
        </w:tc>
      </w:tr>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09/28/2001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Execution of definitive documents by FPUA and FPRP subject to conditions precedent to effectiveness</w:t>
            </w:r>
          </w:p>
        </w:tc>
      </w:tr>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10/01/2001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Offer project via Deal Bench</w:t>
            </w:r>
          </w:p>
        </w:tc>
      </w:tr>
      <w:tr>
        <w:trPr/>
        <w:tc>
          <w:tcPr>
            <w:tcW w:w="1998" w:type="dxa"/>
            <w:tcBorders/>
          </w:tcPr>
          <w:p>
            <w:pPr>
              <w:pStyle w:val="Header"/>
              <w:widowControl/>
              <w:tabs>
                <w:tab w:val="clear" w:pos="4320"/>
                <w:tab w:val="clear" w:pos="8640"/>
              </w:tabs>
              <w:rPr>
                <w:rFonts w:ascii="Arial" w:hAnsi="Arial" w:cs="Arial"/>
                <w:szCs w:val="24"/>
              </w:rPr>
            </w:pPr>
            <w:r>
              <w:rPr>
                <w:rFonts w:cs="Arial" w:ascii="Arial" w:hAnsi="Arial"/>
                <w:szCs w:val="24"/>
              </w:rPr>
              <w:t>12/15/2001</w:t>
            </w:r>
          </w:p>
        </w:tc>
        <w:tc>
          <w:tcPr>
            <w:tcW w:w="8550" w:type="dxa"/>
            <w:tcBorders/>
          </w:tcPr>
          <w:p>
            <w:pPr>
              <w:pStyle w:val="Header"/>
              <w:widowControl/>
              <w:tabs>
                <w:tab w:val="clear" w:pos="4320"/>
                <w:tab w:val="clear" w:pos="8640"/>
              </w:tabs>
              <w:rPr>
                <w:rFonts w:ascii="Arial" w:hAnsi="Arial" w:cs="Arial"/>
                <w:szCs w:val="24"/>
              </w:rPr>
            </w:pPr>
            <w:r>
              <w:rPr>
                <w:rFonts w:cs="Arial" w:ascii="Arial" w:hAnsi="Arial"/>
                <w:szCs w:val="24"/>
              </w:rPr>
              <w:t>Transfer FPRP out of E-Next/close sale of FPRP to third party/project documents effective</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268"/>
        <w:gridCol w:w="239"/>
        <w:gridCol w:w="3361"/>
        <w:gridCol w:w="360"/>
        <w:gridCol w:w="2790"/>
        <w:gridCol w:w="293"/>
        <w:gridCol w:w="1057"/>
      </w:tblGrid>
      <w:tr>
        <w:trPr>
          <w:trHeight w:val="405" w:hRule="atLeast"/>
        </w:trPr>
        <w:tc>
          <w:tcPr>
            <w:tcW w:w="226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36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60"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79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David Fairley/Mathew Gimble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EWS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Dave Duran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Bob Virgo</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Americas Accounting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Wes Colwell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Mark Haedicke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John Lavorato/Louise Kitchen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Header"/>
              <w:widowControl/>
              <w:tabs>
                <w:tab w:val="clear" w:pos="4320"/>
                <w:tab w:val="clear" w:pos="8640"/>
              </w:tabs>
              <w:spacing w:before="120" w:after="0"/>
              <w:rPr>
                <w:rFonts w:ascii="Arial" w:hAnsi="Arial" w:cs="Arial"/>
                <w:szCs w:val="24"/>
              </w:rPr>
            </w:pPr>
            <w:r>
              <w:rPr>
                <w:rFonts w:cs="Arial" w:ascii="Arial" w:hAnsi="Arial"/>
                <w:szCs w:val="24"/>
              </w:rPr>
              <w:t>RAC Management</w:t>
            </w:r>
          </w:p>
        </w:tc>
        <w:tc>
          <w:tcPr>
            <w:tcW w:w="239" w:type="dxa"/>
            <w:tcBorders/>
          </w:tcPr>
          <w:p>
            <w:pPr>
              <w:pStyle w:val="Normal"/>
              <w:snapToGrid w:val="false"/>
              <w:spacing w:before="120" w:after="0"/>
              <w:rPr>
                <w:rFonts w:ascii="Arial" w:hAnsi="Arial" w:cs="Arial"/>
                <w:sz w:val="20"/>
                <w:szCs w:val="24"/>
              </w:rPr>
            </w:pPr>
            <w:r>
              <w:rPr>
                <w:rFonts w:cs="Arial" w:ascii="Arial" w:hAnsi="Arial"/>
                <w:sz w:val="20"/>
                <w:szCs w:val="24"/>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Rick Buy/Dave Gorte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Header"/>
              <w:widowControl/>
              <w:tabs>
                <w:tab w:val="clear" w:pos="4320"/>
                <w:tab w:val="clear" w:pos="8640"/>
              </w:tabs>
              <w:spacing w:before="120" w:after="0"/>
              <w:rPr>
                <w:rFonts w:ascii="Arial" w:hAnsi="Arial" w:cs="Arial"/>
                <w:szCs w:val="24"/>
              </w:rPr>
            </w:pPr>
            <w:r>
              <w:rPr>
                <w:rFonts w:cs="Arial" w:ascii="Arial" w:hAnsi="Arial"/>
                <w:szCs w:val="24"/>
              </w:rPr>
              <w:t>ENE Global Finance</w:t>
            </w:r>
          </w:p>
        </w:tc>
        <w:tc>
          <w:tcPr>
            <w:tcW w:w="239" w:type="dxa"/>
            <w:tcBorders/>
          </w:tcPr>
          <w:p>
            <w:pPr>
              <w:pStyle w:val="Normal"/>
              <w:snapToGrid w:val="false"/>
              <w:spacing w:before="120" w:after="0"/>
              <w:rPr>
                <w:rFonts w:ascii="Arial" w:hAnsi="Arial" w:cs="Arial"/>
                <w:sz w:val="20"/>
                <w:szCs w:val="24"/>
              </w:rPr>
            </w:pPr>
            <w:r>
              <w:rPr>
                <w:rFonts w:cs="Arial" w:ascii="Arial" w:hAnsi="Arial"/>
                <w:sz w:val="20"/>
                <w:szCs w:val="24"/>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Andy Fastow/Ben Glisan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268" w:type="dxa"/>
            <w:tcBorders/>
            <w:tcMar>
              <w:start w:w="115" w:type="dxa"/>
              <w:end w:w="14" w:type="dxa"/>
            </w:tcMar>
          </w:tcPr>
          <w:p>
            <w:pPr>
              <w:pStyle w:val="Header"/>
              <w:widowControl/>
              <w:tabs>
                <w:tab w:val="clear" w:pos="4320"/>
                <w:tab w:val="clear" w:pos="8640"/>
              </w:tabs>
              <w:spacing w:before="120" w:after="0"/>
              <w:rPr>
                <w:rFonts w:ascii="Arial" w:hAnsi="Arial" w:cs="Arial"/>
                <w:szCs w:val="24"/>
              </w:rPr>
            </w:pPr>
            <w:r>
              <w:rPr>
                <w:rFonts w:cs="Arial" w:ascii="Arial" w:hAnsi="Arial"/>
                <w:szCs w:val="24"/>
              </w:rPr>
              <w:t>ENE OOC</w:t>
            </w:r>
          </w:p>
        </w:tc>
        <w:tc>
          <w:tcPr>
            <w:tcW w:w="239" w:type="dxa"/>
            <w:tcBorders/>
          </w:tcPr>
          <w:p>
            <w:pPr>
              <w:pStyle w:val="Normal"/>
              <w:snapToGrid w:val="false"/>
              <w:spacing w:before="120" w:after="0"/>
              <w:rPr>
                <w:rFonts w:ascii="Arial" w:hAnsi="Arial" w:cs="Arial"/>
                <w:sz w:val="20"/>
                <w:szCs w:val="24"/>
              </w:rPr>
            </w:pPr>
            <w:r>
              <w:rPr>
                <w:rFonts w:cs="Arial" w:ascii="Arial" w:hAnsi="Arial"/>
                <w:sz w:val="20"/>
                <w:szCs w:val="24"/>
              </w:rPr>
            </w:r>
          </w:p>
        </w:tc>
        <w:tc>
          <w:tcPr>
            <w:tcW w:w="3361" w:type="dxa"/>
            <w:tcBorders>
              <w:top w:val="single" w:sz="6" w:space="0" w:color="000000"/>
              <w:bottom w:val="single" w:sz="6" w:space="0" w:color="000000"/>
            </w:tcBorders>
            <w:tcMar>
              <w:start w:w="115" w:type="dxa"/>
              <w:end w:w="14" w:type="dxa"/>
            </w:tcMar>
          </w:tcPr>
          <w:p>
            <w:pPr>
              <w:pStyle w:val="Normal"/>
              <w:spacing w:before="120" w:after="0"/>
              <w:rPr>
                <w:rFonts w:ascii="Arial" w:hAnsi="Arial" w:cs="Arial"/>
                <w:sz w:val="20"/>
              </w:rPr>
            </w:pPr>
            <w:r>
              <w:rPr>
                <w:rFonts w:cs="Arial" w:ascii="Arial" w:hAnsi="Arial"/>
                <w:sz w:val="20"/>
              </w:rPr>
              <w:t>Mark Frevert/Greg Whalley</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790"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t>APPENDIX I – STATUS OF PROJECT DEVELOPMENT</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pPr>
      <w:r>
        <w:rPr>
          <w:rFonts w:cs="Arial" w:ascii="Arial" w:hAnsi="Arial"/>
          <w:b/>
          <w:bCs/>
          <w:i/>
          <w:iCs/>
          <w:u w:val="single"/>
        </w:rPr>
        <w:t>Project Development Expenditures and Authorizations to Date</w:t>
      </w:r>
      <w:r>
        <w:rPr>
          <w:rFonts w:cs="Arial" w:ascii="Arial" w:hAnsi="Arial"/>
        </w:rPr>
        <w:t xml:space="preserve">   On January 31, 2001, ENA management approved an I-DASH of $2.481MM to fund the continued development of the Project through June 1, 2001.  Development costs prior to this approval, excluding all legal and intercompany fees, amounted to approximately $1.0MM.  Costs covered by the I-DASH included:</w:t>
      </w:r>
    </w:p>
    <w:p>
      <w:pPr>
        <w:pStyle w:val="Header"/>
        <w:widowControl/>
        <w:tabs>
          <w:tab w:val="clear" w:pos="4320"/>
          <w:tab w:val="clear" w:pos="8640"/>
        </w:tabs>
        <w:rPr>
          <w:rFonts w:ascii="Arial" w:hAnsi="Arial" w:cs="Arial"/>
        </w:rPr>
      </w:pPr>
      <w:r>
        <w:rPr>
          <w:rFonts w:cs="Arial" w:ascii="Arial" w:hAnsi="Arial"/>
        </w:rPr>
      </w:r>
    </w:p>
    <w:tbl>
      <w:tblPr>
        <w:tblW w:w="4235" w:type="dxa"/>
        <w:jc w:val="center"/>
        <w:tblInd w:w="0" w:type="dxa"/>
        <w:tblLayout w:type="fixed"/>
        <w:tblCellMar>
          <w:top w:w="0" w:type="dxa"/>
          <w:start w:w="108" w:type="dxa"/>
          <w:bottom w:w="0" w:type="dxa"/>
          <w:end w:w="108" w:type="dxa"/>
        </w:tblCellMar>
      </w:tblPr>
      <w:tblGrid>
        <w:gridCol w:w="3518"/>
        <w:gridCol w:w="717"/>
      </w:tblGrid>
      <w:tr>
        <w:trPr/>
        <w:tc>
          <w:tcPr>
            <w:tcW w:w="3518" w:type="dxa"/>
            <w:tcBorders>
              <w:top w:val="single" w:sz="12" w:space="0" w:color="000000"/>
              <w:start w:val="single" w:sz="12" w:space="0" w:color="000000"/>
              <w:bottom w:val="single" w:sz="12" w:space="0" w:color="000000"/>
              <w:end w:val="single" w:sz="12" w:space="0" w:color="000000"/>
            </w:tcBorders>
          </w:tcPr>
          <w:p>
            <w:pPr>
              <w:pStyle w:val="Header"/>
              <w:widowControl/>
              <w:tabs>
                <w:tab w:val="clear" w:pos="4320"/>
                <w:tab w:val="clear" w:pos="8640"/>
              </w:tabs>
              <w:jc w:val="center"/>
              <w:rPr>
                <w:rFonts w:ascii="Arial" w:hAnsi="Arial" w:cs="Arial"/>
                <w:b/>
                <w:bCs/>
              </w:rPr>
            </w:pPr>
            <w:r>
              <w:rPr>
                <w:rFonts w:cs="Arial" w:ascii="Arial" w:hAnsi="Arial"/>
                <w:b/>
                <w:bCs/>
              </w:rPr>
              <w:t>DESCRIPTION</w:t>
            </w:r>
          </w:p>
        </w:tc>
        <w:tc>
          <w:tcPr>
            <w:tcW w:w="717" w:type="dxa"/>
            <w:tcBorders>
              <w:top w:val="single" w:sz="12" w:space="0" w:color="000000"/>
              <w:start w:val="single" w:sz="12" w:space="0" w:color="000000"/>
              <w:bottom w:val="single" w:sz="12" w:space="0" w:color="000000"/>
              <w:end w:val="single" w:sz="12" w:space="0" w:color="000000"/>
            </w:tcBorders>
          </w:tcPr>
          <w:p>
            <w:pPr>
              <w:pStyle w:val="Header"/>
              <w:widowControl/>
              <w:tabs>
                <w:tab w:val="clear" w:pos="4320"/>
                <w:tab w:val="clear" w:pos="8640"/>
              </w:tabs>
              <w:rPr>
                <w:rFonts w:ascii="Arial" w:hAnsi="Arial" w:cs="Arial"/>
                <w:b/>
                <w:bCs/>
              </w:rPr>
            </w:pPr>
            <w:r>
              <w:rPr>
                <w:rFonts w:cs="Arial" w:ascii="Arial" w:hAnsi="Arial"/>
                <w:b/>
                <w:bCs/>
              </w:rPr>
              <w:t>$M</w:t>
            </w:r>
          </w:p>
        </w:tc>
      </w:tr>
      <w:tr>
        <w:trPr/>
        <w:tc>
          <w:tcPr>
            <w:tcW w:w="3518" w:type="dxa"/>
            <w:tcBorders>
              <w:top w:val="single" w:sz="12" w:space="0" w:color="000000"/>
              <w:start w:val="single" w:sz="12" w:space="0" w:color="000000"/>
            </w:tcBorders>
          </w:tcPr>
          <w:p>
            <w:pPr>
              <w:pStyle w:val="Header"/>
              <w:widowControl/>
              <w:tabs>
                <w:tab w:val="clear" w:pos="4320"/>
                <w:tab w:val="clear" w:pos="8640"/>
              </w:tabs>
              <w:rPr>
                <w:rFonts w:ascii="Arial" w:hAnsi="Arial" w:cs="Arial"/>
              </w:rPr>
            </w:pPr>
            <w:r>
              <w:rPr>
                <w:rFonts w:cs="Arial" w:ascii="Arial" w:hAnsi="Arial"/>
              </w:rPr>
              <w:t>CMI HRSG Option Payments</w:t>
            </w:r>
          </w:p>
        </w:tc>
        <w:tc>
          <w:tcPr>
            <w:tcW w:w="717" w:type="dxa"/>
            <w:tcBorders>
              <w:top w:val="single" w:sz="12" w:space="0" w:color="000000"/>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306</w:t>
            </w:r>
          </w:p>
        </w:tc>
      </w:tr>
      <w:tr>
        <w:trPr/>
        <w:tc>
          <w:tcPr>
            <w:tcW w:w="3518" w:type="dxa"/>
            <w:tcBorders>
              <w:start w:val="single" w:sz="12" w:space="0" w:color="000000"/>
            </w:tcBorders>
          </w:tcPr>
          <w:p>
            <w:pPr>
              <w:pStyle w:val="Header"/>
              <w:widowControl/>
              <w:tabs>
                <w:tab w:val="clear" w:pos="4320"/>
                <w:tab w:val="clear" w:pos="8640"/>
              </w:tabs>
              <w:rPr>
                <w:rFonts w:ascii="Arial" w:hAnsi="Arial" w:cs="Arial"/>
              </w:rPr>
            </w:pPr>
            <w:r>
              <w:rPr>
                <w:rFonts w:cs="Arial" w:ascii="Arial" w:hAnsi="Arial"/>
              </w:rPr>
              <w:t>FPUA Technical Services Agreement</w:t>
            </w:r>
          </w:p>
        </w:tc>
        <w:tc>
          <w:tcPr>
            <w:tcW w:w="717" w:type="dxa"/>
            <w:tcBorders>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575</w:t>
            </w:r>
          </w:p>
        </w:tc>
      </w:tr>
      <w:tr>
        <w:trPr/>
        <w:tc>
          <w:tcPr>
            <w:tcW w:w="3518" w:type="dxa"/>
            <w:tcBorders>
              <w:start w:val="single" w:sz="12" w:space="0" w:color="000000"/>
            </w:tcBorders>
          </w:tcPr>
          <w:p>
            <w:pPr>
              <w:pStyle w:val="Header"/>
              <w:widowControl/>
              <w:tabs>
                <w:tab w:val="clear" w:pos="4320"/>
                <w:tab w:val="clear" w:pos="8640"/>
              </w:tabs>
              <w:rPr>
                <w:rFonts w:ascii="Arial" w:hAnsi="Arial" w:cs="Arial"/>
              </w:rPr>
            </w:pPr>
            <w:r>
              <w:rPr>
                <w:rFonts w:cs="Arial" w:ascii="Arial" w:hAnsi="Arial"/>
              </w:rPr>
              <w:t>Stone &amp; Webster Engineering</w:t>
            </w:r>
          </w:p>
        </w:tc>
        <w:tc>
          <w:tcPr>
            <w:tcW w:w="717" w:type="dxa"/>
            <w:tcBorders>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840</w:t>
            </w:r>
          </w:p>
        </w:tc>
      </w:tr>
      <w:tr>
        <w:trPr/>
        <w:tc>
          <w:tcPr>
            <w:tcW w:w="3518" w:type="dxa"/>
            <w:tcBorders>
              <w:start w:val="single" w:sz="12" w:space="0" w:color="000000"/>
            </w:tcBorders>
          </w:tcPr>
          <w:p>
            <w:pPr>
              <w:pStyle w:val="Header"/>
              <w:widowControl/>
              <w:tabs>
                <w:tab w:val="clear" w:pos="4320"/>
                <w:tab w:val="clear" w:pos="8640"/>
              </w:tabs>
              <w:rPr>
                <w:rFonts w:ascii="Arial" w:hAnsi="Arial" w:cs="Arial"/>
              </w:rPr>
            </w:pPr>
            <w:r>
              <w:rPr>
                <w:rFonts w:cs="Arial" w:ascii="Arial" w:hAnsi="Arial"/>
              </w:rPr>
              <w:t>EE&amp;CC Tasking Letters*</w:t>
            </w:r>
          </w:p>
        </w:tc>
        <w:tc>
          <w:tcPr>
            <w:tcW w:w="717" w:type="dxa"/>
            <w:tcBorders>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560</w:t>
            </w:r>
          </w:p>
        </w:tc>
      </w:tr>
      <w:tr>
        <w:trPr/>
        <w:tc>
          <w:tcPr>
            <w:tcW w:w="3518" w:type="dxa"/>
            <w:tcBorders>
              <w:start w:val="single" w:sz="12" w:space="0" w:color="000000"/>
              <w:bottom w:val="dashSmallGap" w:sz="8" w:space="0" w:color="000000"/>
            </w:tcBorders>
          </w:tcPr>
          <w:p>
            <w:pPr>
              <w:pStyle w:val="Header"/>
              <w:widowControl/>
              <w:tabs>
                <w:tab w:val="clear" w:pos="4320"/>
                <w:tab w:val="clear" w:pos="8640"/>
              </w:tabs>
              <w:rPr/>
            </w:pPr>
            <w:r>
              <w:rPr>
                <w:rFonts w:cs="Arial" w:ascii="Arial" w:hAnsi="Arial"/>
              </w:rPr>
              <w:t>Other 3</w:t>
            </w:r>
            <w:r>
              <w:rPr>
                <w:rFonts w:cs="Arial" w:ascii="Arial" w:hAnsi="Arial"/>
                <w:vertAlign w:val="superscript"/>
              </w:rPr>
              <w:t>rd</w:t>
            </w:r>
            <w:r>
              <w:rPr>
                <w:rFonts w:cs="Arial" w:ascii="Arial" w:hAnsi="Arial"/>
              </w:rPr>
              <w:t xml:space="preserve"> Party Service Agreements</w:t>
            </w:r>
          </w:p>
        </w:tc>
        <w:tc>
          <w:tcPr>
            <w:tcW w:w="717" w:type="dxa"/>
            <w:tcBorders>
              <w:bottom w:val="dashSmallGap" w:sz="8" w:space="0" w:color="000000"/>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200</w:t>
            </w:r>
          </w:p>
        </w:tc>
      </w:tr>
      <w:tr>
        <w:trPr/>
        <w:tc>
          <w:tcPr>
            <w:tcW w:w="3518" w:type="dxa"/>
            <w:tcBorders>
              <w:top w:val="dashSmallGap" w:sz="8" w:space="0" w:color="000000"/>
              <w:start w:val="single" w:sz="12" w:space="0" w:color="000000"/>
              <w:bottom w:val="single" w:sz="12" w:space="0" w:color="000000"/>
            </w:tcBorders>
          </w:tcPr>
          <w:p>
            <w:pPr>
              <w:pStyle w:val="Header"/>
              <w:widowControl/>
              <w:tabs>
                <w:tab w:val="clear" w:pos="4320"/>
                <w:tab w:val="clear" w:pos="8640"/>
              </w:tabs>
              <w:jc w:val="center"/>
              <w:rPr>
                <w:rFonts w:ascii="Arial" w:hAnsi="Arial" w:cs="Arial"/>
              </w:rPr>
            </w:pPr>
            <w:r>
              <w:rPr>
                <w:rFonts w:cs="Arial" w:ascii="Arial" w:hAnsi="Arial"/>
              </w:rPr>
              <w:t>Total</w:t>
            </w:r>
          </w:p>
        </w:tc>
        <w:tc>
          <w:tcPr>
            <w:tcW w:w="717" w:type="dxa"/>
            <w:tcBorders>
              <w:top w:val="dashSmallGap" w:sz="8" w:space="0" w:color="000000"/>
              <w:bottom w:val="single" w:sz="12" w:space="0" w:color="000000"/>
              <w:end w:val="single" w:sz="12" w:space="0" w:color="000000"/>
            </w:tcBorders>
          </w:tcPr>
          <w:p>
            <w:pPr>
              <w:pStyle w:val="Header"/>
              <w:widowControl/>
              <w:tabs>
                <w:tab w:val="clear" w:pos="4320"/>
                <w:tab w:val="clear" w:pos="8640"/>
              </w:tabs>
              <w:jc w:val="end"/>
              <w:rPr>
                <w:rFonts w:ascii="Arial" w:hAnsi="Arial" w:cs="Arial"/>
              </w:rPr>
            </w:pPr>
            <w:r>
              <w:rPr>
                <w:rFonts w:cs="Arial" w:ascii="Arial" w:hAnsi="Arial"/>
              </w:rPr>
              <w:t>2,481</w:t>
            </w:r>
          </w:p>
        </w:tc>
      </w:tr>
    </w:tbl>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pPr>
      <w:r>
        <w:rPr>
          <w:rFonts w:cs="Arial" w:ascii="Arial" w:hAnsi="Arial"/>
        </w:rPr>
        <w:t>*Amounts were to cover 3</w:t>
      </w:r>
      <w:r>
        <w:rPr>
          <w:rFonts w:cs="Arial" w:ascii="Arial" w:hAnsi="Arial"/>
          <w:vertAlign w:val="superscript"/>
        </w:rPr>
        <w:t>rd</w:t>
      </w:r>
      <w:r>
        <w:rPr>
          <w:rFonts w:cs="Arial" w:ascii="Arial" w:hAnsi="Arial"/>
        </w:rPr>
        <w:t xml:space="preserve"> party engineering services</w:t>
      </w:r>
    </w:p>
    <w:p>
      <w:pPr>
        <w:pStyle w:val="Header"/>
        <w:widowControl/>
        <w:tabs>
          <w:tab w:val="clear" w:pos="4320"/>
          <w:tab w:val="clear" w:pos="8640"/>
        </w:tabs>
        <w:rPr>
          <w:rFonts w:ascii="Arial" w:hAnsi="Arial" w:cs="Arial"/>
        </w:rPr>
      </w:pPr>
      <w:r>
        <w:rPr>
          <w:rFonts w:cs="Arial" w:ascii="Arial" w:hAnsi="Arial"/>
        </w:rPr>
      </w:r>
    </w:p>
    <w:p>
      <w:pPr>
        <w:pStyle w:val="Normal"/>
        <w:tabs>
          <w:tab w:val="left" w:pos="720" w:leader="none"/>
          <w:tab w:val="left" w:pos="2160" w:leader="none"/>
          <w:tab w:val="left" w:pos="4320" w:leader="none"/>
          <w:tab w:val="center" w:pos="5040" w:leader="none"/>
          <w:tab w:val="center" w:pos="6480" w:leader="none"/>
          <w:tab w:val="center" w:pos="7920" w:leader="none"/>
        </w:tabs>
        <w:rPr>
          <w:rFonts w:ascii="Arial" w:hAnsi="Arial" w:cs="Arial"/>
          <w:sz w:val="20"/>
        </w:rPr>
      </w:pPr>
      <w:r>
        <w:rPr>
          <w:rFonts w:cs="Arial" w:ascii="Arial" w:hAnsi="Arial"/>
          <w:sz w:val="20"/>
        </w:rPr>
        <w:t>The “Costs Omitted from DASH” relate to management’s determination that these costs would not require the DASH approval process in order to be incurred as connection with the Project.  To ensure that costs cease to increase, all external development activities have been suspended except those referred to in project overview above.</w:t>
      </w:r>
    </w:p>
    <w:p>
      <w:pPr>
        <w:pStyle w:val="Normal"/>
        <w:rPr>
          <w:rFonts w:ascii="Arial" w:hAnsi="Arial" w:cs="Arial"/>
          <w:sz w:val="20"/>
        </w:rPr>
      </w:pPr>
      <w:r>
        <w:rPr>
          <w:rFonts w:cs="Arial" w:ascii="Arial" w:hAnsi="Arial"/>
          <w:sz w:val="20"/>
        </w:rPr>
      </w:r>
    </w:p>
    <w:p>
      <w:pPr>
        <w:pStyle w:val="Header"/>
        <w:widowControl/>
        <w:tabs>
          <w:tab w:val="clear" w:pos="4320"/>
          <w:tab w:val="clear" w:pos="8640"/>
        </w:tabs>
        <w:rPr/>
      </w:pPr>
      <w:r>
        <w:rPr>
          <w:rFonts w:cs="Arial" w:ascii="Arial" w:hAnsi="Arial"/>
          <w:b/>
          <w:bCs/>
          <w:i/>
          <w:iCs/>
          <w:u w:val="single"/>
        </w:rPr>
        <w:t>General</w:t>
      </w:r>
      <w:r>
        <w:rPr>
          <w:rFonts w:cs="Arial" w:ascii="Arial" w:hAnsi="Arial"/>
        </w:rPr>
        <w:t xml:space="preserve">   FPRP, a wholly - owned subsidiary of ENA, intends to repower the existing power generation facilities of the H. D. King Plant owned by FPUA.  The repowering will require FPUA and the City of Fort Pierce to lease/grant easements on approximately two acres of land immediately adjacent to the existing FPUA power plant on which FPRP will build a power generation facility consisting of a Mitsubishi 501F combustion turbine (“Turbine”) and a HRSG.   A total of 292 MWs will be generated by the facilities, 196MWs of net output from the Turbine that FPRP will own and 96 MWs from FPUA’s #6, #7 and #8 steam turbines.  Although the combined-cycle heat rate of the facility will equal a 7,768 high heating value (“HHV”), steam will be sourced to FPUA at a heat rate of 9,500 HHV for steam turbines #7 and #8 and a heat rate of 10,700 HHV for steam turbine #6.  FPUA will realize a heat rate improvement from the 12,200 HHV steam it is currently generating from its two existing boilers.  Due to this arrangement and provided FPUA is running its plant, FPRP will receive a reduced “net” heat rate equivalent of 7,043 HHV on its 196MWs.  FPUA will reimburse FPRP for consumed steam through a natural gas fuel allocation.  In the event FPUA is not running its steam turbines, FPRP has the right, but not the obligation, to toll steam through FPUA’s steam turbines and generate the full 292 MWs for its own account at the combined cycle heat rate of 7,768.</w:t>
      </w:r>
    </w:p>
    <w:p>
      <w:pPr>
        <w:pStyle w:val="Header"/>
        <w:widowControl/>
        <w:tabs>
          <w:tab w:val="clear" w:pos="4320"/>
          <w:tab w:val="clear" w:pos="8640"/>
        </w:tabs>
        <w:rPr>
          <w:rFonts w:ascii="Arial" w:hAnsi="Arial" w:cs="Arial"/>
        </w:rPr>
      </w:pPr>
      <w:r>
        <w:rPr>
          <w:rFonts w:cs="Arial" w:ascii="Arial" w:hAnsi="Arial"/>
        </w:rPr>
      </w:r>
    </w:p>
    <w:p>
      <w:pPr>
        <w:pStyle w:val="Normal"/>
        <w:rPr/>
      </w:pPr>
      <w:r>
        <w:rPr>
          <w:rFonts w:cs="Arial" w:ascii="Arial" w:hAnsi="Arial"/>
          <w:b/>
          <w:bCs/>
          <w:i/>
          <w:iCs/>
          <w:sz w:val="20"/>
          <w:u w:val="single"/>
        </w:rPr>
        <w:t>Fuel Supply</w:t>
      </w:r>
      <w:r>
        <w:rPr>
          <w:rFonts w:cs="Arial" w:ascii="Arial" w:hAnsi="Arial"/>
          <w:sz w:val="20"/>
        </w:rPr>
        <w:t xml:space="preserve">   It is anticipated that definitive fuel supply arrangements will need to be negotiated by a purchaser of the project.  FGT, or a comparable pipeline contractor, could be hired to construct a 7 mile looping lateral from FGT’s mainline to the existing metering station located adjacent to FPUA’s Plant.  FPRP’s recent negotiations with FGT contemplate that FGT will own, operate and maintain the pipeline and associated equipment, but firm agreements have not been negotiated with FGT.  FPRP has decided not to enter into the FGT Phase VI expansion for firm gas transportation, but it is anticipated FPRP could purchase delivered gas quantities as needed from Enron or another supplier.  FPUA and the Florida Municipal Power Agency (“FMPA”) have also expressed interest in financing, owning and operating the gas lateral if acceptable terms can be negotiated.  </w:t>
      </w:r>
    </w:p>
    <w:p>
      <w:pPr>
        <w:pStyle w:val="Normal"/>
        <w:rPr>
          <w:rFonts w:ascii="Arial" w:hAnsi="Arial" w:cs="Arial"/>
          <w:sz w:val="20"/>
        </w:rPr>
      </w:pPr>
      <w:r>
        <w:rPr>
          <w:rFonts w:cs="Arial" w:ascii="Arial" w:hAnsi="Arial"/>
          <w:sz w:val="20"/>
        </w:rPr>
      </w:r>
    </w:p>
    <w:p>
      <w:pPr>
        <w:pStyle w:val="Normal"/>
        <w:rPr/>
      </w:pPr>
      <w:r>
        <w:rPr>
          <w:rFonts w:cs="Arial" w:ascii="Arial" w:hAnsi="Arial"/>
          <w:b/>
          <w:bCs/>
          <w:i/>
          <w:iCs/>
          <w:sz w:val="20"/>
          <w:u w:val="single"/>
        </w:rPr>
        <w:t>Interconnection/Transmission</w:t>
      </w:r>
      <w:r>
        <w:rPr>
          <w:rFonts w:cs="Arial" w:ascii="Arial" w:hAnsi="Arial"/>
          <w:sz w:val="20"/>
        </w:rPr>
        <w:t xml:space="preserve">   Florida Power &amp; Light (“FPL”) is nearing the completion of their Interconnection Study for the Project.  Preliminary FPL comments indicate the addition of the FPRP megawatts will not  require any significant capital improvements to the FPL system, and it is anticipated FPRP’s purchaser could negotiate a satisfactory Interconnection Agreement with FPL.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project documents provide that FPUA will transmit FPRP’s power to the FPL system provided FPRP constructs approximately $6.5MM in improvements to FPUA’s existing transmission system.  Upon completion of the improvements, FPRP will assign all of the upgrades to FPUA and will receive a tariff reimbursement equivalent to fully refund FPRP’s capital outlay plus accumulated interest.  Alternatively, if a Florida RTO goes into effect, FPRP may be reimbursed for the transmission improvements on an accelerated basis.  The location of the FPRP facility has been deemed ideal for not only transmitting power to heavily populated primary load centers located in the southern section of Florida, but also for wheeling power north and along the eastern interconnection.  </w:t>
      </w:r>
    </w:p>
    <w:p>
      <w:pPr>
        <w:pStyle w:val="Header"/>
        <w:widowControl/>
        <w:tabs>
          <w:tab w:val="clear" w:pos="4320"/>
          <w:tab w:val="clear" w:pos="8640"/>
        </w:tabs>
        <w:rPr>
          <w:rFonts w:ascii="Arial" w:hAnsi="Arial" w:cs="Arial"/>
          <w:sz w:val="20"/>
        </w:rPr>
      </w:pPr>
      <w:r>
        <w:rPr>
          <w:rFonts w:cs="Arial" w:ascii="Arial" w:hAnsi="Arial"/>
          <w:sz w:val="20"/>
        </w:rPr>
      </w:r>
    </w:p>
    <w:p>
      <w:pPr>
        <w:pStyle w:val="Normal"/>
        <w:rPr/>
      </w:pPr>
      <w:r>
        <w:rPr>
          <w:rFonts w:cs="Arial" w:ascii="Arial" w:hAnsi="Arial"/>
          <w:b/>
          <w:bCs/>
          <w:i/>
          <w:iCs/>
          <w:sz w:val="20"/>
          <w:u w:val="single"/>
        </w:rPr>
        <w:t>Permitting</w:t>
      </w:r>
      <w:r>
        <w:rPr>
          <w:rFonts w:cs="Arial" w:ascii="Arial" w:hAnsi="Arial"/>
          <w:sz w:val="20"/>
        </w:rPr>
        <w:t xml:space="preserve">   Current restrictions under Florida’s Power Plant Siting Act (“PPSA”) restrict combined-cycle power plant construction contemplating the use of a steam turbine in excess of 75MWs without prior regulatory approval, unless a majority of the power produced is secured by a long-term PPA with a Florida load serving entity (precluding merchant combined-cycle plants). ENA’s Florida counsel has opined that the proposed Project does not fall under criteria requiring PPSA approvals because the project does not include a steam turbine nor will it increase the power generated by FPUA’s existing steam turbines under FPUA’s existing grandfathered PPSA certification.  Other required permits for the project are anticipated to be obtained on terms acceptable to FPRP.</w:t>
      </w:r>
    </w:p>
    <w:p>
      <w:pPr>
        <w:pStyle w:val="Normal"/>
        <w:rPr>
          <w:rFonts w:ascii="Arial" w:hAnsi="Arial" w:cs="Arial"/>
          <w:b/>
          <w:bCs/>
          <w:i/>
          <w:i/>
          <w:iCs/>
          <w:sz w:val="20"/>
          <w:u w:val="single"/>
        </w:rPr>
      </w:pPr>
      <w:r>
        <w:rPr>
          <w:rFonts w:cs="Arial" w:ascii="Arial" w:hAnsi="Arial"/>
          <w:b/>
          <w:bCs/>
          <w:i/>
          <w:iCs/>
          <w:sz w:val="20"/>
          <w:u w:val="single"/>
        </w:rPr>
      </w:r>
    </w:p>
    <w:p>
      <w:pPr>
        <w:pStyle w:val="Normal"/>
        <w:rPr/>
      </w:pPr>
      <w:r>
        <w:rPr>
          <w:rFonts w:cs="Arial" w:ascii="Arial" w:hAnsi="Arial"/>
          <w:b/>
          <w:bCs/>
          <w:i/>
          <w:iCs/>
          <w:sz w:val="20"/>
          <w:u w:val="single"/>
        </w:rPr>
        <w:t>Water</w:t>
      </w:r>
      <w:r>
        <w:rPr>
          <w:rFonts w:cs="Arial" w:ascii="Arial" w:hAnsi="Arial"/>
          <w:sz w:val="20"/>
        </w:rPr>
        <w:t xml:space="preserve">   FPUA’s Water Department has access to more than adequate supplies and has agreed to enter into an agreement with FPRP providing the necessary requirements, and, in addition, has requested to provide long-term water supplies for ENA’s Midway site.</w:t>
      </w:r>
    </w:p>
    <w:p>
      <w:pPr>
        <w:pStyle w:val="Normal"/>
        <w:rPr>
          <w:rFonts w:ascii="Arial" w:hAnsi="Arial" w:cs="Arial"/>
          <w:b/>
          <w:sz w:val="20"/>
        </w:rPr>
      </w:pPr>
      <w:r>
        <w:rPr>
          <w:rFonts w:cs="Arial" w:ascii="Arial" w:hAnsi="Arial"/>
          <w:b/>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V3.6</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FP_DASH_083101F_DASH.doc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tabs>
        <w:tab w:val="left" w:pos="720" w:leader="none"/>
        <w:tab w:val="left" w:pos="2160" w:leader="none"/>
        <w:tab w:val="left" w:pos="4320" w:leader="none"/>
        <w:tab w:val="center" w:pos="5040" w:leader="none"/>
        <w:tab w:val="center" w:pos="6480" w:leader="none"/>
        <w:tab w:val="center" w:pos="7920" w:leader="none"/>
      </w:tabs>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2001-08-31T18:53:00Z</dcterms:created>
  <dc:creator>kjolly</dc:creator>
  <dc:description>V3.3
Updated to add filename to headers
</dc:description>
  <dc:language>en-CA</dc:language>
  <cp:lastModifiedBy>cschneid</cp:lastModifiedBy>
  <cp:lastPrinted>2001-08-31T16:29:00Z</cp:lastPrinted>
  <dcterms:modified xsi:type="dcterms:W3CDTF">2001-08-31T19:01:00Z</dcterms:modified>
  <cp:revision>6</cp:revision>
  <dc:subject/>
  <dc:title>ENRON RISK ASSESSMENT AND CONTROL</dc:title>
</cp:coreProperties>
</file>