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Cs w:val="20"/>
        </w:rPr>
      </w:pPr>
      <w:r>
        <w:rPr>
          <w:szCs w:val="20"/>
        </w:rPr>
        <w:t>To:</w:t>
        <w:tab/>
        <w:t>Stan Horton</w:t>
      </w:r>
    </w:p>
    <w:p>
      <w:pPr>
        <w:pStyle w:val="Normal"/>
        <w:autoSpaceDE w:val="false"/>
        <w:rPr>
          <w:szCs w:val="20"/>
        </w:rPr>
      </w:pPr>
      <w:r>
        <w:rPr>
          <w:szCs w:val="20"/>
        </w:rPr>
        <w:tab/>
        <w:t>Bob Hayes</w:t>
      </w:r>
    </w:p>
    <w:p>
      <w:pPr>
        <w:pStyle w:val="Normal"/>
        <w:autoSpaceDE w:val="false"/>
        <w:rPr>
          <w:szCs w:val="20"/>
        </w:rPr>
      </w:pPr>
      <w:r>
        <w:rPr>
          <w:szCs w:val="20"/>
        </w:rPr>
      </w:r>
    </w:p>
    <w:p>
      <w:pPr>
        <w:pStyle w:val="Normal"/>
        <w:autoSpaceDE w:val="false"/>
        <w:rPr>
          <w:szCs w:val="20"/>
        </w:rPr>
      </w:pPr>
      <w:r>
        <w:rPr>
          <w:szCs w:val="20"/>
        </w:rPr>
        <w:t>From:</w:t>
        <w:tab/>
        <w:t>Shelley Corman</w:t>
      </w:r>
    </w:p>
    <w:p>
      <w:pPr>
        <w:pStyle w:val="Normal"/>
        <w:autoSpaceDE w:val="false"/>
        <w:rPr>
          <w:szCs w:val="20"/>
        </w:rPr>
      </w:pPr>
      <w:r>
        <w:rPr>
          <w:szCs w:val="20"/>
        </w:rPr>
        <w:tab/>
        <w:t>Mike Bryant</w:t>
      </w:r>
    </w:p>
    <w:p>
      <w:pPr>
        <w:pStyle w:val="Normal"/>
        <w:autoSpaceDE w:val="false"/>
        <w:rPr>
          <w:szCs w:val="20"/>
        </w:rPr>
      </w:pPr>
      <w:r>
        <w:rPr>
          <w:szCs w:val="20"/>
        </w:rPr>
      </w:r>
    </w:p>
    <w:p>
      <w:pPr>
        <w:pStyle w:val="Normal"/>
        <w:autoSpaceDE w:val="false"/>
        <w:rPr>
          <w:szCs w:val="20"/>
        </w:rPr>
      </w:pPr>
      <w:r>
        <w:rPr>
          <w:szCs w:val="20"/>
        </w:rPr>
        <w:t>RE:</w:t>
        <w:tab/>
        <w:t xml:space="preserve">Briefing for FPL March 20 Meeting </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t xml:space="preserve">As a general matter, we believe our day-to-day relationships with FPL to be excellent.  FGT’s relationships with Jerry Patrick from the dispatch side and Bill Murphy from the business side have allowed us to work through balancing and outage issues on a positive note.  </w:t>
      </w:r>
    </w:p>
    <w:p>
      <w:pPr>
        <w:pStyle w:val="Normal"/>
        <w:autoSpaceDE w:val="false"/>
        <w:rPr>
          <w:szCs w:val="20"/>
        </w:rPr>
      </w:pPr>
      <w:r>
        <w:rPr>
          <w:szCs w:val="20"/>
        </w:rPr>
      </w:r>
    </w:p>
    <w:p>
      <w:pPr>
        <w:pStyle w:val="Normal"/>
        <w:numPr>
          <w:ilvl w:val="0"/>
          <w:numId w:val="1"/>
        </w:numPr>
        <w:autoSpaceDE w:val="false"/>
        <w:rPr>
          <w:b/>
          <w:bCs/>
          <w:szCs w:val="20"/>
        </w:rPr>
      </w:pPr>
      <w:r>
        <w:rPr>
          <w:b/>
          <w:bCs/>
          <w:szCs w:val="20"/>
        </w:rPr>
        <w:t>New Merchant Plans and Peak Hour Concerns for Summer 2002</w:t>
      </w:r>
    </w:p>
    <w:p>
      <w:pPr>
        <w:pStyle w:val="Normal"/>
        <w:autoSpaceDE w:val="false"/>
        <w:rPr>
          <w:b/>
          <w:bCs/>
          <w:szCs w:val="20"/>
        </w:rPr>
      </w:pPr>
      <w:r>
        <w:rPr>
          <w:b/>
          <w:bCs/>
          <w:szCs w:val="20"/>
        </w:rPr>
      </w:r>
    </w:p>
    <w:p>
      <w:pPr>
        <w:pStyle w:val="Normal"/>
        <w:autoSpaceDE w:val="false"/>
        <w:rPr>
          <w:szCs w:val="20"/>
        </w:rPr>
      </w:pPr>
      <w:r>
        <w:rPr>
          <w:szCs w:val="20"/>
        </w:rPr>
        <w:t>The seven or so new merchant plants in Florida will all have some PPA (power purchase agreement) with FP&amp;L.  FP&amp;L is currently sending in the paper work to set themselves up as the Delivery Point Operator (Scheduling/Balancing party) for the Constellation Oleander Plant and the Shady Hills Plant.</w:t>
      </w:r>
    </w:p>
    <w:p>
      <w:pPr>
        <w:pStyle w:val="Normal"/>
        <w:autoSpaceDE w:val="false"/>
        <w:rPr>
          <w:szCs w:val="20"/>
        </w:rPr>
      </w:pPr>
      <w:r>
        <w:rPr>
          <w:szCs w:val="20"/>
        </w:rPr>
      </w:r>
    </w:p>
    <w:p>
      <w:pPr>
        <w:pStyle w:val="Normal"/>
        <w:autoSpaceDE w:val="false"/>
        <w:rPr/>
      </w:pPr>
      <w:r>
        <w:rPr>
          <w:szCs w:val="20"/>
        </w:rPr>
        <w:t xml:space="preserve">Mike had a meeting with FP&amp;L to go over mutual concerns about the impact of the new Oleander plant on max. hour deliveries at the Cape.   You may recall that FPL has always insisted that they are contractually entitled to 8800/hr whether they nominate at the Cape or not.  They always complain about the impact of OUC’s takes at the Cape and more recently about Reliant’s takes.  Now with the addition of Constellation we have the opportunity to convince FPL that it is in their interest to nominate their plans at the Cape – otherwise we won’t be able to reliably schedule Constellation.  They have an exclusive power purchase agreement on the first two units at Constellation; however, they they were surprised to hear that Constellation has no firm.  </w:t>
      </w:r>
      <w:r>
        <w:rPr>
          <w:i/>
          <w:szCs w:val="20"/>
        </w:rPr>
        <w:t xml:space="preserve">Bottom Line:  This is an opportunity to soften FPL’s stance on a long-term conflict over max hour takes at the Cape and work with them on something that will work to cover OUC, Reliant &amp; Constellation. </w:t>
      </w:r>
    </w:p>
    <w:p>
      <w:pPr>
        <w:pStyle w:val="Normal"/>
        <w:autoSpaceDE w:val="false"/>
        <w:rPr>
          <w:i/>
          <w:i/>
          <w:szCs w:val="20"/>
        </w:rPr>
      </w:pPr>
      <w:r>
        <w:rPr>
          <w:i/>
          <w:szCs w:val="20"/>
        </w:rPr>
      </w:r>
    </w:p>
    <w:p>
      <w:pPr>
        <w:pStyle w:val="Normal"/>
        <w:autoSpaceDE w:val="false"/>
        <w:rPr/>
      </w:pPr>
      <w:r>
        <w:rPr>
          <w:iCs/>
          <w:szCs w:val="20"/>
        </w:rPr>
        <w:t>The wild card is FPL’s reaction to the new looping that we are putting in place under blanket certificate authority.  FPL has certainly seen the work going on, but we haven’t specifically raised the issue except to address their questions.  We know that they would have a problem with the work if they perceived it as modifications in advance of Phase VI.  When asked we plan to emphasis that the looping provides current operational benefits to all (</w:t>
      </w:r>
      <w:r>
        <w:rPr>
          <w:szCs w:val="20"/>
        </w:rPr>
        <w:t>the new loop on the Cape lateral which will increase total hourly deliveries down the lateral from about 9,000/hr to 12,000/hr)</w:t>
      </w:r>
      <w:r>
        <w:rPr>
          <w:iCs/>
          <w:szCs w:val="20"/>
        </w:rPr>
        <w:t xml:space="preserve">. </w:t>
      </w:r>
    </w:p>
    <w:p>
      <w:pPr>
        <w:pStyle w:val="Normal"/>
        <w:autoSpaceDE w:val="false"/>
        <w:rPr>
          <w:iCs/>
          <w:szCs w:val="20"/>
        </w:rPr>
      </w:pPr>
      <w:r>
        <w:rPr>
          <w:iCs/>
          <w:szCs w:val="20"/>
        </w:rPr>
      </w:r>
    </w:p>
    <w:p>
      <w:pPr>
        <w:pStyle w:val="Normal"/>
        <w:autoSpaceDE w:val="false"/>
        <w:rPr>
          <w:szCs w:val="20"/>
        </w:rPr>
      </w:pPr>
      <w:r>
        <w:rPr>
          <w:szCs w:val="20"/>
        </w:rPr>
        <w:t>Mike has mentioned to FPL that the Cape will have to come down for a day in April and they seemed okay with this one day outage, but they may not realize that it is related to the looping project.</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 xml:space="preserve">2.  Martin North Issues    </w:t>
      </w:r>
    </w:p>
    <w:p>
      <w:pPr>
        <w:pStyle w:val="Normal"/>
        <w:autoSpaceDE w:val="false"/>
        <w:rPr>
          <w:b/>
          <w:bCs/>
          <w:szCs w:val="20"/>
        </w:rPr>
      </w:pPr>
      <w:r>
        <w:rPr>
          <w:b/>
          <w:bCs/>
          <w:szCs w:val="20"/>
        </w:rPr>
      </w:r>
    </w:p>
    <w:p>
      <w:pPr>
        <w:pStyle w:val="Normal"/>
        <w:autoSpaceDE w:val="false"/>
        <w:rPr>
          <w:szCs w:val="20"/>
        </w:rPr>
      </w:pPr>
      <w:r>
        <w:rPr>
          <w:szCs w:val="20"/>
        </w:rPr>
        <w:t>FP&amp;L recently blamed us for giving them excessive liquids that caused mechanical failures in one of their Martin North units.  FGT did let one of the tanks overfill at the site, but there is also evidence that FP&amp;L also could have been the source of the liquids because of their oil transfer line.  We have offered on-site assistance to further investigate this issue, but they declined the offer.  They stopped pursuing this issue about 3 weeks ago.</w:t>
      </w:r>
    </w:p>
    <w:p>
      <w:pPr>
        <w:pStyle w:val="Normal"/>
        <w:autoSpaceDE w:val="false"/>
        <w:rPr>
          <w:szCs w:val="20"/>
        </w:rPr>
      </w:pPr>
      <w:r>
        <w:rPr>
          <w:szCs w:val="20"/>
        </w:rPr>
      </w:r>
    </w:p>
    <w:p>
      <w:pPr>
        <w:pStyle w:val="Normal"/>
        <w:autoSpaceDE w:val="false"/>
        <w:rPr>
          <w:b/>
          <w:bCs/>
          <w:szCs w:val="20"/>
        </w:rPr>
      </w:pPr>
      <w:r>
        <w:rPr>
          <w:b/>
          <w:bCs/>
          <w:szCs w:val="20"/>
        </w:rPr>
        <w:t>3.  Data Issues</w:t>
      </w:r>
    </w:p>
    <w:p>
      <w:pPr>
        <w:pStyle w:val="Normal"/>
        <w:autoSpaceDE w:val="false"/>
        <w:rPr>
          <w:b/>
          <w:bCs/>
          <w:szCs w:val="20"/>
        </w:rPr>
      </w:pPr>
      <w:r>
        <w:rPr>
          <w:b/>
          <w:bCs/>
          <w:szCs w:val="20"/>
        </w:rPr>
      </w:r>
    </w:p>
    <w:p>
      <w:pPr>
        <w:pStyle w:val="Normal"/>
        <w:autoSpaceDE w:val="false"/>
        <w:rPr>
          <w:szCs w:val="20"/>
        </w:rPr>
      </w:pPr>
      <w:r>
        <w:rPr>
          <w:szCs w:val="20"/>
        </w:rPr>
        <w:t>As you may recall, FPL has been asking for more and faster feeds of a wide range of data, including gas quality data.  We agreed to test a live download system via the Internet where FGT supplies current operational information directly into the FP&amp;L databases.  The pilot of this project took a little longer than expected to finish, but largely because FP&amp;L needed to work through issues with Java programming on their end.  Despite some delays the pilot has been a success and we can declare victory on delivering the information we promised.</w:t>
      </w:r>
    </w:p>
    <w:p>
      <w:pPr>
        <w:pStyle w:val="Normal"/>
        <w:autoSpaceDE w:val="false"/>
        <w:rPr>
          <w:szCs w:val="20"/>
        </w:rPr>
      </w:pPr>
      <w:r>
        <w:rPr>
          <w:szCs w:val="20"/>
        </w:rPr>
      </w:r>
    </w:p>
    <w:p>
      <w:pPr>
        <w:pStyle w:val="Normal"/>
        <w:autoSpaceDE w:val="false"/>
        <w:rPr>
          <w:szCs w:val="20"/>
        </w:rPr>
      </w:pPr>
      <w:r>
        <w:rPr>
          <w:szCs w:val="20"/>
        </w:rPr>
        <w:t>Recently, FPL has asked that we expand the download data to include chromatograph information and "midnight to midnight" information.  We have also given them this and the testing has been successful.   And, even more recently they have asked for specific sulfur and H2O automatic downloads.  We are working on this.</w:t>
      </w:r>
    </w:p>
    <w:p>
      <w:pPr>
        <w:pStyle w:val="Normal"/>
        <w:autoSpaceDE w:val="false"/>
        <w:rPr>
          <w:szCs w:val="20"/>
        </w:rPr>
      </w:pPr>
      <w:r>
        <w:rPr>
          <w:szCs w:val="20"/>
        </w:rPr>
      </w:r>
    </w:p>
    <w:p>
      <w:pPr>
        <w:pStyle w:val="Normal"/>
        <w:autoSpaceDE w:val="false"/>
        <w:rPr>
          <w:szCs w:val="20"/>
        </w:rPr>
      </w:pPr>
      <w:r>
        <w:rPr>
          <w:szCs w:val="20"/>
        </w:rPr>
        <w:t>While we continue to move in the direction of providing FPL with data, we still have concerns about the liability aspects of providing this data.  At every chance we get we try to remind FPL that this data is best available operational data and should be used and understood in that context.   For example just because there is an increase in moisture content on a day in a Brooker chromatograph reading doesn’t mean that FPL should feel like it is appropriate to claim that increased moisture is the reason for some problem in their operations downstream.  First, the increased moisture may be due to maintenance or pigging operations going on in a particular segment of our system.  And, more importantly, the tariff defines the gas quality standard and while we don’t object to providing data we don’t want to get drawn into daily analysis of gas quality changes that are within tariff specifications.</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4.  Follow-Up on Recent Safety Presentation</w:t>
      </w:r>
    </w:p>
    <w:p>
      <w:pPr>
        <w:pStyle w:val="Normal"/>
        <w:autoSpaceDE w:val="false"/>
        <w:rPr>
          <w:b/>
          <w:bCs/>
          <w:szCs w:val="20"/>
        </w:rPr>
      </w:pPr>
      <w:r>
        <w:rPr>
          <w:b/>
          <w:bCs/>
          <w:szCs w:val="20"/>
        </w:rPr>
      </w:r>
    </w:p>
    <w:p>
      <w:pPr>
        <w:pStyle w:val="Normal"/>
        <w:autoSpaceDE w:val="false"/>
        <w:rPr>
          <w:szCs w:val="20"/>
        </w:rPr>
      </w:pPr>
      <w:r>
        <w:rPr>
          <w:szCs w:val="20"/>
        </w:rPr>
        <w:t>The recent safety and security presentations made by Mike Bryant, Mike Teal and Jimmy Dowden were well received by FP&amp;L, but Dona Gussow has requested additional  information about our integrity assessment program.  Operations has since extended an invitation to visit with them on our pipeline integrity program.</w:t>
      </w:r>
    </w:p>
    <w:p>
      <w:pPr>
        <w:pStyle w:val="Normal"/>
        <w:autoSpaceDE w:val="false"/>
        <w:rPr>
          <w:szCs w:val="20"/>
        </w:rPr>
      </w:pPr>
      <w:r>
        <w:rPr>
          <w:szCs w:val="20"/>
        </w:rPr>
      </w:r>
    </w:p>
    <w:p>
      <w:pPr>
        <w:pStyle w:val="Normal"/>
        <w:autoSpaceDE w:val="false"/>
        <w:rPr>
          <w:b/>
          <w:bCs/>
          <w:szCs w:val="20"/>
        </w:rPr>
      </w:pPr>
      <w:r>
        <w:rPr>
          <w:b/>
          <w:bCs/>
          <w:szCs w:val="20"/>
        </w:rPr>
      </w:r>
    </w:p>
    <w:p>
      <w:pPr>
        <w:pStyle w:val="Normal"/>
        <w:numPr>
          <w:ilvl w:val="0"/>
          <w:numId w:val="2"/>
        </w:numPr>
        <w:autoSpaceDE w:val="false"/>
        <w:rPr>
          <w:b/>
          <w:bCs/>
          <w:szCs w:val="20"/>
        </w:rPr>
      </w:pPr>
      <w:r>
        <w:rPr>
          <w:b/>
          <w:bCs/>
          <w:szCs w:val="20"/>
        </w:rPr>
        <w:t>Pipeline Integrity Related Outages – Fall 2002</w:t>
      </w:r>
    </w:p>
    <w:p>
      <w:pPr>
        <w:pStyle w:val="Normal"/>
        <w:autoSpaceDE w:val="false"/>
        <w:rPr>
          <w:b/>
          <w:bCs/>
          <w:color w:val="000000"/>
          <w:sz w:val="20"/>
          <w:szCs w:val="20"/>
        </w:rPr>
      </w:pPr>
      <w:r>
        <w:rPr>
          <w:b/>
          <w:bCs/>
          <w:color w:val="000000"/>
          <w:sz w:val="20"/>
          <w:szCs w:val="20"/>
        </w:rPr>
      </w:r>
    </w:p>
    <w:p>
      <w:pPr>
        <w:pStyle w:val="BodyText2"/>
        <w:rPr>
          <w:color w:val="000000"/>
        </w:rPr>
      </w:pPr>
      <w:r>
        <w:rPr>
          <w:color w:val="000000"/>
        </w:rPr>
        <w:t>FGT has been successful in coordinating a large number of significant outages with FP&amp;L, and they have not brought up the concept of demand charge credits; however, the early indication is that the Pipeline Integrity Program is requesting some major outages of mainline South of station 20.  It will be a significant challenge to coordinate these outages without FP&amp;L starting to entertain the concept of demand charge credits.</w:t>
      </w:r>
    </w:p>
    <w:p>
      <w:pPr>
        <w:pStyle w:val="Normal"/>
        <w:autoSpaceDE w:val="false"/>
        <w:rPr>
          <w:color w:val="000000"/>
          <w:szCs w:val="20"/>
        </w:rPr>
      </w:pPr>
      <w:r>
        <w:rPr>
          <w:color w:val="000000"/>
          <w:szCs w:val="20"/>
        </w:rPr>
      </w:r>
    </w:p>
    <w:p>
      <w:pPr>
        <w:pStyle w:val="BodyText3"/>
        <w:rPr/>
      </w:pPr>
      <w:r>
        <w:rPr/>
        <w:t>These outages have not yet been brought up with them.  We have just been negotiating with Operations to put off any of these jobs until after this summer.</w:t>
      </w:r>
    </w:p>
    <w:p>
      <w:pPr>
        <w:pStyle w:val="Normal"/>
        <w:autoSpaceDE w:val="false"/>
        <w:rPr>
          <w:color w:val="0000FF"/>
          <w:szCs w:val="20"/>
        </w:rPr>
      </w:pPr>
      <w:r>
        <w:rPr>
          <w:color w:val="0000FF"/>
          <w:szCs w:val="20"/>
        </w:rPr>
      </w:r>
    </w:p>
    <w:p>
      <w:pPr>
        <w:pStyle w:val="Normal"/>
        <w:autoSpaceDE w:val="false"/>
        <w:rPr>
          <w:b/>
          <w:bCs/>
          <w:color w:val="0000FF"/>
          <w:szCs w:val="20"/>
        </w:rPr>
      </w:pPr>
      <w:r>
        <w:rPr>
          <w:b/>
          <w:bCs/>
          <w:color w:val="0000FF"/>
          <w:szCs w:val="20"/>
        </w:rPr>
      </w:r>
    </w:p>
    <w:p>
      <w:pPr>
        <w:pStyle w:val="Normal"/>
        <w:numPr>
          <w:ilvl w:val="0"/>
          <w:numId w:val="2"/>
        </w:numPr>
        <w:autoSpaceDE w:val="false"/>
        <w:rPr>
          <w:b/>
          <w:bCs/>
          <w:szCs w:val="20"/>
        </w:rPr>
      </w:pPr>
      <w:r>
        <w:rPr>
          <w:b/>
          <w:bCs/>
          <w:szCs w:val="20"/>
        </w:rPr>
        <w:t>Contractual Exhibit Review/Audit</w:t>
      </w:r>
    </w:p>
    <w:p>
      <w:pPr>
        <w:pStyle w:val="Normal"/>
        <w:autoSpaceDE w:val="false"/>
        <w:rPr>
          <w:b/>
          <w:bCs/>
          <w:szCs w:val="20"/>
        </w:rPr>
      </w:pPr>
      <w:r>
        <w:rPr>
          <w:b/>
          <w:bCs/>
          <w:szCs w:val="20"/>
        </w:rPr>
      </w:r>
    </w:p>
    <w:p>
      <w:pPr>
        <w:pStyle w:val="Normal"/>
        <w:autoSpaceDE w:val="false"/>
        <w:rPr>
          <w:szCs w:val="20"/>
        </w:rPr>
      </w:pPr>
      <w:r>
        <w:rPr>
          <w:szCs w:val="20"/>
        </w:rPr>
        <w:t>Last year when Paul Karns took over his new contract responsibilities he asked for a complete set of all point exhibits and a review of all receipt point changes.  Shelley assembled this history and met with Paul and Dona to review the materials.  We delivered the information requested and believe this to be a closed issue.</w:t>
      </w:r>
    </w:p>
    <w:p>
      <w:pPr>
        <w:pStyle w:val="Normal"/>
        <w:autoSpaceDE w:val="false"/>
        <w:rPr>
          <w:szCs w:val="20"/>
        </w:rPr>
      </w:pPr>
      <w:r>
        <w:rPr>
          <w:szCs w:val="20"/>
        </w:rPr>
      </w:r>
    </w:p>
    <w:p>
      <w:pPr>
        <w:pStyle w:val="Normal"/>
        <w:autoSpaceDE w:val="false"/>
        <w:rPr>
          <w:szCs w:val="20"/>
        </w:rPr>
      </w:pPr>
      <w:r>
        <w:rPr>
          <w:szCs w:val="20"/>
        </w:rPr>
      </w:r>
    </w:p>
    <w:p>
      <w:pPr>
        <w:pStyle w:val="Normal"/>
        <w:numPr>
          <w:ilvl w:val="0"/>
          <w:numId w:val="2"/>
        </w:numPr>
        <w:autoSpaceDE w:val="false"/>
        <w:rPr>
          <w:b/>
          <w:bCs/>
          <w:szCs w:val="20"/>
        </w:rPr>
      </w:pPr>
      <w:r>
        <w:rPr>
          <w:b/>
          <w:bCs/>
          <w:szCs w:val="20"/>
        </w:rPr>
        <w:t>Balancing</w:t>
      </w:r>
    </w:p>
    <w:p>
      <w:pPr>
        <w:pStyle w:val="BodyText"/>
        <w:rPr>
          <w:rFonts w:ascii="Times New Roman" w:hAnsi="Times New Roman" w:cs="Times New Roman"/>
          <w:b/>
          <w:bCs/>
          <w:sz w:val="24"/>
          <w:szCs w:val="20"/>
        </w:rPr>
      </w:pPr>
      <w:r>
        <w:rPr>
          <w:rFonts w:cs="Times New Roman" w:ascii="Times New Roman" w:hAnsi="Times New Roman"/>
          <w:b/>
          <w:bCs/>
          <w:sz w:val="24"/>
          <w:szCs w:val="20"/>
        </w:rPr>
      </w:r>
    </w:p>
    <w:p>
      <w:pPr>
        <w:pStyle w:val="BodyText"/>
        <w:rPr>
          <w:rFonts w:ascii="Times New Roman" w:hAnsi="Times New Roman" w:cs="Times New Roman"/>
          <w:sz w:val="24"/>
        </w:rPr>
      </w:pPr>
      <w:r>
        <w:rPr>
          <w:rFonts w:cs="Times New Roman" w:ascii="Times New Roman" w:hAnsi="Times New Roman"/>
          <w:sz w:val="24"/>
        </w:rPr>
        <w:t>Over the past year FP&amp;L has gone from being an opponent of any operational controls to being supportive of using Alert Days.  They were supportive of the recent cash out pricing changes too.  While they would of course rather that there be no limits on overburning or underburning, they recognize the Alert Day as a reasonable way to put limits (15%, 10% or 5%) in place only on those days where line pack is unacceptably high or low.  FPL has not incurred any Alert Day penalties this winter.</w:t>
      </w:r>
    </w:p>
    <w:p>
      <w:pPr>
        <w:pStyle w:val="Normal"/>
        <w:autoSpaceDE w:val="false"/>
        <w:rPr>
          <w:rFonts w:ascii="Times New Roman" w:hAnsi="Times New Roman" w:cs="Times New Roman"/>
          <w:sz w:val="24"/>
          <w:szCs w:val="20"/>
        </w:rPr>
      </w:pPr>
      <w:r>
        <w:rPr>
          <w:rFonts w:cs="Times New Roman"/>
          <w:sz w:val="24"/>
          <w:szCs w:val="20"/>
        </w:rPr>
      </w:r>
    </w:p>
    <w:p>
      <w:pPr>
        <w:pStyle w:val="Normal"/>
        <w:numPr>
          <w:ilvl w:val="0"/>
          <w:numId w:val="2"/>
        </w:numPr>
        <w:autoSpaceDE w:val="false"/>
        <w:rPr>
          <w:b/>
          <w:bCs/>
          <w:szCs w:val="20"/>
        </w:rPr>
      </w:pPr>
      <w:r>
        <w:rPr>
          <w:b/>
          <w:bCs/>
          <w:szCs w:val="20"/>
        </w:rPr>
        <w:t>Computer Security Issues</w:t>
      </w:r>
    </w:p>
    <w:p>
      <w:pPr>
        <w:pStyle w:val="Normal"/>
        <w:autoSpaceDE w:val="false"/>
        <w:rPr>
          <w:b/>
          <w:bCs/>
          <w:szCs w:val="20"/>
        </w:rPr>
      </w:pPr>
      <w:r>
        <w:rPr>
          <w:b/>
          <w:bCs/>
          <w:szCs w:val="20"/>
        </w:rPr>
      </w:r>
    </w:p>
    <w:p>
      <w:pPr>
        <w:pStyle w:val="Normal"/>
        <w:autoSpaceDE w:val="false"/>
        <w:rPr>
          <w:szCs w:val="20"/>
        </w:rPr>
      </w:pPr>
      <w:r>
        <w:rPr>
          <w:szCs w:val="20"/>
        </w:rPr>
        <w:t>Dona Gussow has some very strong ideas that FGT should revamp its computer/HotTap applications to provide customer self-service for administering passwords.  For example, one person at FPL, perhaps Dona, would get to maintain all the FPL passwords to get into FGT systems and could therefore monitor who has assess to scheduling, contracts, etc.  We don’t conceptually disagree with this issue and have built this concept in our plans for the HotTap redesign.  But with current system uncertainties and IT resources being pushed in other directions this just isn’t a priority right now.</w:t>
      </w:r>
    </w:p>
    <w:p>
      <w:pPr>
        <w:pStyle w:val="Normal"/>
        <w:rPr>
          <w:szCs w:val="20"/>
        </w:rPr>
      </w:pPr>
      <w:r>
        <w:rPr>
          <w:szCs w:val="20"/>
        </w:rPr>
      </w:r>
    </w:p>
    <w:p>
      <w:pPr>
        <w:pStyle w:val="Normal"/>
        <w:numPr>
          <w:ilvl w:val="0"/>
          <w:numId w:val="2"/>
        </w:numPr>
        <w:rPr>
          <w:b/>
          <w:bCs/>
        </w:rPr>
      </w:pPr>
      <w:r>
        <w:rPr>
          <w:b/>
          <w:bCs/>
        </w:rPr>
        <w:t>General Enron Issues</w:t>
      </w:r>
    </w:p>
    <w:p>
      <w:pPr>
        <w:pStyle w:val="Normal"/>
        <w:rPr>
          <w:b/>
          <w:bCs/>
        </w:rPr>
      </w:pPr>
      <w:r>
        <w:rPr>
          <w:b/>
          <w:bCs/>
        </w:rPr>
      </w:r>
    </w:p>
    <w:p>
      <w:pPr>
        <w:pStyle w:val="Normal"/>
        <w:rPr/>
      </w:pPr>
      <w:r>
        <w:rPr/>
        <w:t>At the recent security presentation meeting while presenting information concerning how our systems are set up with redundancy for fail-over to Omaha, Joe Steppenovich voiced concerns that FGT was funding the computer and back-up plans of other failed Enron units.  Our folks at the meeting couldn’t figure out what he was talking about.   We are now guessing that because Joe’s son works at ENA, now UBS, that he is referring to some of the terms in the Enron/UBS agreement – and in particular the requirement that Enron will buy computer back-up services of $25 million from UBS.    If it arises, you can assure him that FGT has its own disaster recovery capabilities and will not be receiving charges or services from UBS.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5"/>
      <w:numFmt w:val="decimal"/>
      <w:lvlText w:val="%1."/>
      <w:lvlJc w:val="start"/>
      <w:pPr>
        <w:tabs>
          <w:tab w:val="num" w:pos="360"/>
        </w:tabs>
        <w:ind w:start="36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color w:val="0000FF"/>
      <w:szCs w:val="20"/>
    </w:rPr>
  </w:style>
  <w:style w:type="paragraph" w:styleId="BodyText3">
    <w:name w:val="Body Text 3"/>
    <w:basedOn w:val="Normal"/>
    <w:qFormat/>
    <w:pPr>
      <w:autoSpaceDE w:val="false"/>
    </w:pPr>
    <w:rPr>
      <w:color w:val="00000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2002-03-19T12:11:00Z</dcterms:created>
  <dc:creator>scorman</dc:creator>
  <dc:description/>
  <dc:language>en-CA</dc:language>
  <cp:lastModifiedBy>scorman</cp:lastModifiedBy>
  <cp:lastPrinted>2002-03-19T09:26:00Z</cp:lastPrinted>
  <dcterms:modified xsi:type="dcterms:W3CDTF">2002-03-19T13:42:00Z</dcterms:modified>
  <cp:revision>2</cp:revision>
  <dc:subject/>
  <dc:title>To:</dc:title>
</cp:coreProperties>
</file>