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6.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word/_rels/footer1.xml.rels" ContentType="application/vnd.openxmlformats-package.relationships+xml"/>
  <Override PartName="/word/_rels/footer5.xml.rels" ContentType="application/vnd.openxmlformats-package.relationships+xml"/>
  <Override PartName="/word/_rels/footer4.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sz w:val="36"/>
        </w:rPr>
        <w:t>Overview of Enron’s Generation</w:t>
        <w:br/>
      </w:r>
      <w:r>
        <w:rPr>
          <w:sz w:val="25"/>
        </w:rPr>
        <w:t>Preliminary Terms and Operating Information</w:t>
      </w:r>
    </w:p>
    <w:p>
      <w:pPr>
        <w:pStyle w:val="Heading1"/>
        <w:ind w:hanging="0" w:start="0"/>
        <w:rPr/>
      </w:pPr>
      <w:r>
        <w:rPr>
          <w:b w:val="false"/>
          <w:sz w:val="32"/>
        </w:rPr>
        <w:br/>
      </w:r>
      <w:r>
        <w:rPr>
          <w:b w:val="false"/>
          <w:sz w:val="24"/>
        </w:rPr>
        <w:t>Certain information included in this Information Memorandum contains forward-looking statements identified by such words as “expect”, "anticipate”, or “project.”  Such statements are based on current expectations and involve a number of known and unknown risks and uncertainties that could cause the actual results and performance of the power generation plants (“Plants”) to differ materially from any expected future results or performance, expressed or implied, by the forward-looking statements, including expectations regarding the future results of operations of the Plants.  Enron North America Corp. (“ENA”) has identified important factors that could cause actual results to differ materially from such expectations, including development uncertainty, operating uncertainty, acquisition uncertainty, uncertainties relating to power and gas markets, weather, uncertainties relating to domestic and international economic and political conditions and uncertainties regarding the impact of regulations, changes in government policy, industry deregulation and competition.  You have an obligation to evaluate all such risks for itself.  ENA does not assume responsibility to update forward-looking information contained herein.</w:t>
        <w:br/>
        <w:br/>
        <w:t>Although in furnishing the enclosed information ENA has endeavored to include materials which ENA believes to be reliable and relevant for your evaluation, ENA makes no representation or warranty as to the accuracy or completeness of any such provided information.  Furthermore, neither ENA nor its representative shall have any liability to any party whatsoever resulting from the use of any such information.</w:t>
        <w:br/>
      </w:r>
    </w:p>
    <w:p>
      <w:pPr>
        <w:pStyle w:val="Heading4"/>
        <w:ind w:hanging="0" w:start="0" w:end="0"/>
        <w:rPr>
          <w:b w:val="false"/>
          <w:sz w:val="24"/>
        </w:rPr>
      </w:pPr>
      <w:r>
        <w:rPr>
          <w:b w:val="false"/>
          <w:sz w:val="24"/>
        </w:rPr>
        <w:t xml:space="preserve">Portions of this Information Memorandum contain term sheets which contemplate potential agreements. Be advised that such term sheets are for discussion purposes only and are not complete or inclusive of all terms that would need to be agreed upon before a definitive and binding agreement could be reached. These term sheets are not intended to create and do not create a binding or enforceable contract or a duty to negotiate toward a binding contract. A binding commitment can only arise from the negotiation, execution, and delivery of a final written definitive agreement. </w:t>
      </w:r>
    </w:p>
    <w:p>
      <w:pPr>
        <w:pStyle w:val="Normal"/>
        <w:rPr>
          <w:b/>
          <w:sz w:val="24"/>
        </w:rPr>
      </w:pPr>
      <w:r>
        <w:rPr>
          <w:b/>
          <w:sz w:val="24"/>
        </w:rPr>
      </w:r>
    </w:p>
    <w:p>
      <w:pPr>
        <w:pStyle w:val="Normal"/>
        <w:rPr/>
      </w:pPr>
      <w:r>
        <w:rPr/>
      </w:r>
    </w:p>
    <w:p>
      <w:pPr>
        <w:pStyle w:val="FootnoteTex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firstLine="180" w:end="0"/>
        <w:rPr/>
      </w:pPr>
      <w:r>
        <w:rPr/>
      </w:r>
    </w:p>
    <w:p>
      <w:pPr>
        <w:pStyle w:val="Heading4"/>
        <w:ind w:firstLine="180" w:end="0"/>
        <w:rPr/>
      </w:pPr>
      <w:r>
        <w:rPr/>
      </w:r>
    </w:p>
    <w:p>
      <w:pPr>
        <w:pStyle w:val="Heading4"/>
        <w:ind w:firstLine="180" w:end="0"/>
        <w:rPr/>
      </w:pPr>
      <w:r>
        <w:rPr/>
      </w:r>
    </w:p>
    <w:p>
      <w:pPr>
        <w:pStyle w:val="Heading4"/>
        <w:ind w:firstLine="180" w:end="0"/>
        <w:rPr/>
      </w:pPr>
      <w:r>
        <w:rPr/>
        <w:t>Table of Contents</w:t>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firstLine="180" w:start="540" w:end="0"/>
        <w:rPr>
          <w:b/>
          <w:color w:val="000000"/>
          <w:sz w:val="32"/>
          <w:lang w:eastAsia="en-US"/>
        </w:rPr>
      </w:pPr>
      <w:r>
        <w:rPr>
          <w:b/>
          <w:color w:val="000000"/>
          <w:sz w:val="32"/>
          <w:lang w:eastAsia="en-US"/>
        </w:rPr>
        <w:t>1.</w:t>
        <w:tab/>
        <w:t>General Terms</w:t>
      </w:r>
    </w:p>
    <w:p>
      <w:pPr>
        <w:pStyle w:val="Normal"/>
        <w:ind w:hanging="540" w:start="540" w:end="0"/>
        <w:rPr>
          <w:b/>
          <w:color w:val="000000"/>
          <w:sz w:val="32"/>
          <w:lang w:eastAsia="en-US"/>
        </w:rPr>
      </w:pPr>
      <w:r>
        <w:rPr>
          <w:b/>
          <w:color w:val="000000"/>
          <w:sz w:val="32"/>
          <w:lang w:eastAsia="en-US"/>
        </w:rPr>
      </w:r>
    </w:p>
    <w:p>
      <w:pPr>
        <w:pStyle w:val="Normal"/>
        <w:ind w:firstLine="180" w:start="540" w:end="0"/>
        <w:rPr>
          <w:b/>
          <w:color w:val="000000"/>
          <w:sz w:val="32"/>
          <w:lang w:eastAsia="en-US"/>
        </w:rPr>
      </w:pPr>
      <w:r>
        <w:rPr>
          <w:b/>
          <w:color w:val="000000"/>
          <w:sz w:val="32"/>
          <w:lang w:eastAsia="en-US"/>
        </w:rPr>
        <w:t xml:space="preserve">2. </w:t>
        <w:tab/>
        <w:t xml:space="preserve">Preliminary Terms of Power Purchase Agreement </w:t>
      </w:r>
    </w:p>
    <w:p>
      <w:pPr>
        <w:pStyle w:val="Normal"/>
        <w:ind w:hanging="540" w:start="540" w:end="0"/>
        <w:rPr>
          <w:b/>
          <w:color w:val="000000"/>
          <w:sz w:val="32"/>
          <w:lang w:eastAsia="en-US"/>
        </w:rPr>
      </w:pPr>
      <w:r>
        <w:rPr>
          <w:b/>
          <w:color w:val="000000"/>
          <w:sz w:val="32"/>
          <w:lang w:eastAsia="en-US"/>
        </w:rPr>
      </w:r>
    </w:p>
    <w:p>
      <w:pPr>
        <w:pStyle w:val="Normal"/>
        <w:ind w:firstLine="180" w:start="540" w:end="0"/>
        <w:rPr>
          <w:b/>
          <w:color w:val="000000"/>
          <w:sz w:val="32"/>
          <w:lang w:eastAsia="en-US"/>
        </w:rPr>
      </w:pPr>
      <w:r>
        <w:rPr>
          <w:b/>
          <w:color w:val="000000"/>
          <w:sz w:val="32"/>
          <w:lang w:eastAsia="en-US"/>
        </w:rPr>
        <w:t>3.</w:t>
        <w:tab/>
        <w:t>Financial Information</w:t>
      </w:r>
    </w:p>
    <w:p>
      <w:pPr>
        <w:pStyle w:val="Normal"/>
        <w:ind w:hanging="540" w:start="540" w:end="0"/>
        <w:rPr>
          <w:b/>
          <w:color w:val="000000"/>
          <w:sz w:val="28"/>
          <w:lang w:eastAsia="en-US"/>
        </w:rPr>
      </w:pPr>
      <w:r>
        <w:rPr>
          <w:b/>
          <w:color w:val="000000"/>
          <w:sz w:val="28"/>
          <w:lang w:eastAsia="en-US"/>
        </w:rPr>
        <w:tab/>
      </w:r>
    </w:p>
    <w:p>
      <w:pPr>
        <w:pStyle w:val="Normal"/>
        <w:ind w:firstLine="180" w:start="1260" w:end="0"/>
        <w:rPr>
          <w:b/>
          <w:color w:val="000000"/>
          <w:sz w:val="28"/>
          <w:lang w:eastAsia="en-US"/>
        </w:rPr>
      </w:pPr>
      <w:r>
        <w:rPr>
          <w:b/>
          <w:color w:val="000000"/>
          <w:sz w:val="28"/>
          <w:lang w:eastAsia="en-US"/>
        </w:rPr>
        <w:t>3-a. Description of Financial Model</w:t>
      </w:r>
    </w:p>
    <w:p>
      <w:pPr>
        <w:pStyle w:val="Normal"/>
        <w:ind w:hanging="540" w:start="540" w:end="0"/>
        <w:rPr>
          <w:b/>
          <w:color w:val="000000"/>
          <w:sz w:val="28"/>
          <w:lang w:eastAsia="en-US"/>
        </w:rPr>
      </w:pPr>
      <w:r>
        <w:rPr>
          <w:b/>
          <w:color w:val="000000"/>
          <w:sz w:val="28"/>
          <w:lang w:eastAsia="en-US"/>
        </w:rPr>
        <w:tab/>
      </w:r>
    </w:p>
    <w:p>
      <w:pPr>
        <w:pStyle w:val="Normal"/>
        <w:ind w:firstLine="360" w:start="1080" w:end="0"/>
        <w:rPr>
          <w:b/>
          <w:color w:val="000000"/>
          <w:sz w:val="28"/>
          <w:lang w:eastAsia="en-US"/>
        </w:rPr>
      </w:pPr>
      <w:r>
        <w:rPr>
          <w:b/>
          <w:color w:val="000000"/>
          <w:sz w:val="28"/>
          <w:lang w:eastAsia="en-US"/>
        </w:rPr>
        <w:t>3-b. Financial Model</w:t>
      </w:r>
    </w:p>
    <w:p>
      <w:pPr>
        <w:pStyle w:val="Normal"/>
        <w:ind w:hanging="540" w:start="540" w:end="0"/>
        <w:rPr>
          <w:b/>
          <w:color w:val="000000"/>
          <w:sz w:val="28"/>
          <w:lang w:eastAsia="en-US"/>
        </w:rPr>
      </w:pPr>
      <w:r>
        <w:rPr>
          <w:b/>
          <w:color w:val="000000"/>
          <w:sz w:val="28"/>
          <w:lang w:eastAsia="en-US"/>
        </w:rPr>
      </w:r>
    </w:p>
    <w:p>
      <w:pPr>
        <w:pStyle w:val="Normal"/>
        <w:ind w:firstLine="180" w:start="540" w:end="0"/>
        <w:rPr>
          <w:b/>
          <w:color w:val="000000"/>
          <w:sz w:val="32"/>
          <w:lang w:eastAsia="en-US"/>
        </w:rPr>
      </w:pPr>
      <w:r>
        <w:rPr>
          <w:b/>
          <w:color w:val="000000"/>
          <w:sz w:val="32"/>
          <w:lang w:eastAsia="en-US"/>
        </w:rPr>
        <w:t>4.</w:t>
        <w:tab/>
        <w:t>S&amp;P’s Write-up of Enron Generation Company</w:t>
      </w:r>
    </w:p>
    <w:p>
      <w:pPr>
        <w:pStyle w:val="Normal"/>
        <w:rPr>
          <w:b/>
          <w:color w:val="000000"/>
          <w:sz w:val="32"/>
          <w:lang w:eastAsia="en-US"/>
        </w:rPr>
      </w:pPr>
      <w:r>
        <w:rPr>
          <w:b/>
          <w:color w:val="000000"/>
          <w:sz w:val="32"/>
          <w:lang w:eastAsia="en-U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t>1.</w:t>
        <w:tab/>
        <w:t>General Terms</w:t>
      </w:r>
    </w:p>
    <w:p>
      <w:pPr>
        <w:pStyle w:val="Heading4"/>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jc w:val="end"/>
        <w:rPr>
          <w:rFonts w:ascii="Times New Roman" w:hAnsi="Times New Roman" w:cs="Times New Roman"/>
        </w:rPr>
      </w:pPr>
      <w:r>
        <w:rPr>
          <w:rFonts w:cs="Times New Roman" w:ascii="Times New Roman" w:hAnsi="Times New Roman"/>
        </w:rPr>
        <w:t>DRAFT FOR REVIEW AND DISCUSSION PURPOSES ONLY</w:t>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GENERAL TERMS</w:t>
        <w:br/>
      </w:r>
    </w:p>
    <w:p>
      <w:pPr>
        <w:pStyle w:val="Normal"/>
        <w:numPr>
          <w:ilvl w:val="0"/>
          <w:numId w:val="26"/>
        </w:numPr>
        <w:rPr>
          <w:b/>
          <w:sz w:val="22"/>
          <w:u w:val="single"/>
        </w:rPr>
      </w:pPr>
      <w:r>
        <w:rPr>
          <w:b/>
          <w:sz w:val="22"/>
          <w:u w:val="single"/>
        </w:rPr>
        <w:t>NewCo:</w:t>
      </w:r>
    </w:p>
    <w:p>
      <w:pPr>
        <w:pStyle w:val="Normal"/>
        <w:rPr>
          <w:b/>
          <w:sz w:val="22"/>
          <w:u w:val="single"/>
        </w:rPr>
      </w:pPr>
      <w:r>
        <w:rPr>
          <w:b/>
          <w:sz w:val="22"/>
          <w:u w:val="single"/>
        </w:rPr>
      </w:r>
    </w:p>
    <w:p>
      <w:pPr>
        <w:pStyle w:val="Normal"/>
        <w:rPr>
          <w:sz w:val="22"/>
        </w:rPr>
      </w:pPr>
      <w:r>
        <w:rPr>
          <w:sz w:val="22"/>
        </w:rPr>
        <w:t>NewCo will be a newly created generation company. The owners of NewCo would be FPL Energy, L.L.C. (“FPL Energy”) and ENA, and other persons buying shares of NewCo in an IPO of NewCo.</w:t>
      </w:r>
    </w:p>
    <w:p>
      <w:pPr>
        <w:pStyle w:val="Normal"/>
        <w:rPr>
          <w:sz w:val="22"/>
        </w:rPr>
      </w:pPr>
      <w:r>
        <w:rPr>
          <w:sz w:val="22"/>
        </w:rPr>
      </w:r>
    </w:p>
    <w:p>
      <w:pPr>
        <w:pStyle w:val="Normal"/>
        <w:rPr>
          <w:sz w:val="22"/>
        </w:rPr>
      </w:pPr>
      <w:r>
        <w:rPr>
          <w:sz w:val="22"/>
        </w:rPr>
      </w:r>
    </w:p>
    <w:p>
      <w:pPr>
        <w:pStyle w:val="Normal"/>
        <w:numPr>
          <w:ilvl w:val="0"/>
          <w:numId w:val="26"/>
        </w:numPr>
        <w:rPr>
          <w:b/>
          <w:sz w:val="22"/>
          <w:u w:val="single"/>
        </w:rPr>
      </w:pPr>
      <w:r>
        <w:rPr>
          <w:b/>
          <w:sz w:val="22"/>
          <w:u w:val="single"/>
        </w:rPr>
        <w:t>Marketing and Risk Management:</w:t>
      </w:r>
    </w:p>
    <w:p>
      <w:pPr>
        <w:pStyle w:val="Normal"/>
        <w:rPr>
          <w:b/>
          <w:sz w:val="22"/>
          <w:u w:val="single"/>
        </w:rPr>
      </w:pPr>
      <w:r>
        <w:rPr>
          <w:b/>
          <w:sz w:val="22"/>
          <w:u w:val="single"/>
        </w:rPr>
      </w:r>
    </w:p>
    <w:p>
      <w:pPr>
        <w:pStyle w:val="Normal"/>
        <w:rPr>
          <w:sz w:val="22"/>
        </w:rPr>
      </w:pPr>
      <w:r>
        <w:rPr>
          <w:sz w:val="22"/>
        </w:rPr>
        <w:t>The marketing, operations, development and risk management capability for NewCo would be managed within the new entity subject to a risk management policy agreed to by ENA, FPL Energy and the newly formed board of directors.</w:t>
      </w:r>
    </w:p>
    <w:p>
      <w:pPr>
        <w:pStyle w:val="Normal"/>
        <w:rPr>
          <w:sz w:val="22"/>
        </w:rPr>
      </w:pPr>
      <w:r>
        <w:rPr>
          <w:sz w:val="22"/>
        </w:rPr>
      </w:r>
    </w:p>
    <w:p>
      <w:pPr>
        <w:pStyle w:val="Normal"/>
        <w:rPr>
          <w:sz w:val="22"/>
        </w:rPr>
      </w:pPr>
      <w:r>
        <w:rPr>
          <w:sz w:val="22"/>
        </w:rPr>
        <w:t>Our suggestion would be that employment candidates for key positions including risk management, trading, development and origination be submitted by both ENA and FPL Energy and that offers of employment be given only to those people who are successfully interviewed by both FPL Energy and ENA. Those candidates that are hired would become employees of the NewCo.</w:t>
      </w:r>
    </w:p>
    <w:p>
      <w:pPr>
        <w:pStyle w:val="Normal"/>
        <w:rPr>
          <w:sz w:val="22"/>
        </w:rPr>
      </w:pPr>
      <w:r>
        <w:rPr>
          <w:sz w:val="22"/>
        </w:rPr>
      </w:r>
    </w:p>
    <w:p>
      <w:pPr>
        <w:pStyle w:val="Normal"/>
        <w:rPr>
          <w:sz w:val="22"/>
        </w:rPr>
      </w:pPr>
      <w:r>
        <w:rPr>
          <w:sz w:val="22"/>
        </w:rPr>
        <w:t>There would be no exclusivity or non-compete clauses between NewCo and the parent companies.</w:t>
      </w:r>
    </w:p>
    <w:p>
      <w:pPr>
        <w:pStyle w:val="Normal"/>
        <w:rPr>
          <w:sz w:val="22"/>
        </w:rPr>
      </w:pPr>
      <w:r>
        <w:rPr>
          <w:sz w:val="22"/>
        </w:rPr>
      </w:r>
    </w:p>
    <w:p>
      <w:pPr>
        <w:pStyle w:val="Normal"/>
        <w:rPr>
          <w:sz w:val="22"/>
        </w:rPr>
      </w:pPr>
      <w:r>
        <w:rPr>
          <w:sz w:val="22"/>
        </w:rPr>
        <w:t xml:space="preserve">ENA and FPL Energy would each retain a right of first refusal on 50% in the aggregate of NewCo’s fuel and output volumes with a term greater than 3 months. </w:t>
      </w:r>
    </w:p>
    <w:p>
      <w:pPr>
        <w:pStyle w:val="Normal"/>
        <w:rPr>
          <w:sz w:val="22"/>
        </w:rPr>
      </w:pPr>
      <w:r>
        <w:rPr>
          <w:sz w:val="22"/>
        </w:rPr>
      </w:r>
    </w:p>
    <w:p>
      <w:pPr>
        <w:pStyle w:val="Normal"/>
        <w:rPr>
          <w:sz w:val="22"/>
        </w:rPr>
      </w:pPr>
      <w:r>
        <w:rPr>
          <w:sz w:val="22"/>
        </w:rPr>
      </w:r>
    </w:p>
    <w:p>
      <w:pPr>
        <w:pStyle w:val="Normal"/>
        <w:numPr>
          <w:ilvl w:val="0"/>
          <w:numId w:val="26"/>
        </w:numPr>
        <w:rPr>
          <w:b/>
          <w:sz w:val="22"/>
          <w:u w:val="single"/>
        </w:rPr>
      </w:pPr>
      <w:r>
        <w:rPr>
          <w:b/>
          <w:sz w:val="22"/>
          <w:u w:val="single"/>
        </w:rPr>
        <w:t>Risk Management Systems and Back Office Services (Administrative Services):</w:t>
      </w:r>
    </w:p>
    <w:p>
      <w:pPr>
        <w:pStyle w:val="Normal"/>
        <w:rPr>
          <w:b/>
          <w:sz w:val="22"/>
          <w:u w:val="single"/>
        </w:rPr>
      </w:pPr>
      <w:r>
        <w:rPr>
          <w:b/>
          <w:sz w:val="22"/>
          <w:u w:val="single"/>
        </w:rPr>
      </w:r>
    </w:p>
    <w:p>
      <w:pPr>
        <w:pStyle w:val="Normal"/>
        <w:rPr>
          <w:sz w:val="22"/>
        </w:rPr>
      </w:pPr>
      <w:r>
        <w:rPr>
          <w:sz w:val="22"/>
        </w:rPr>
        <w:t>ENA would provide NewCo, for a fee, risk management and back office services (“Administrative Services”) under a contractual arrangement for a term of five years from the closing of the IPO/merger.  If not terminated by either party with ninety days notice prior to the end of the initial term, it shall remain in effect for an additional twelve months on an evergreen basis.  Every year after the initial term, either party would have the right to cancel the agreement by providing written notice to the other party no less than 90 days prior to the end of that term.  ENA would provide all the services described herein with respect to all quantities of electric energy, electric capacity, ancillary services and fuel procurement generated, dispatched or scheduled for purchase and sale related to NewCo’s assets and any related contracts.  ENA will provide the necessary resources and systems to execute the following services:</w:t>
      </w:r>
    </w:p>
    <w:p>
      <w:pPr>
        <w:pStyle w:val="Normal"/>
        <w:rPr>
          <w:sz w:val="22"/>
        </w:rPr>
      </w:pPr>
      <w:r>
        <w:rPr>
          <w:sz w:val="22"/>
        </w:rPr>
      </w:r>
    </w:p>
    <w:p>
      <w:pPr>
        <w:pStyle w:val="Normal"/>
        <w:numPr>
          <w:ilvl w:val="0"/>
          <w:numId w:val="31"/>
        </w:numPr>
        <w:rPr>
          <w:sz w:val="22"/>
        </w:rPr>
      </w:pPr>
      <w:r>
        <w:rPr>
          <w:b/>
          <w:sz w:val="22"/>
          <w:u w:val="single"/>
        </w:rPr>
        <w:t>Risk Management System and Controls</w:t>
      </w:r>
      <w:r>
        <w:rPr>
          <w:sz w:val="22"/>
        </w:rPr>
        <w:t>: Provides daily positional reporting including daily profit and loss, deal and curve entry, VAR reporting and limits monitoring;</w:t>
      </w:r>
    </w:p>
    <w:p>
      <w:pPr>
        <w:pStyle w:val="Normal"/>
        <w:numPr>
          <w:ilvl w:val="0"/>
          <w:numId w:val="31"/>
        </w:numPr>
        <w:rPr>
          <w:sz w:val="22"/>
        </w:rPr>
      </w:pPr>
      <w:r>
        <w:rPr>
          <w:b/>
          <w:sz w:val="22"/>
          <w:u w:val="single"/>
        </w:rPr>
        <w:t>Deal Clearing</w:t>
      </w:r>
      <w:r>
        <w:rPr>
          <w:sz w:val="22"/>
        </w:rPr>
        <w:t>: Prepares customer confirmations, contracts and broker check-outs; interfaces with NewCo’s credit/legal groups; and monitors deal integrity;</w:t>
      </w:r>
    </w:p>
    <w:p>
      <w:pPr>
        <w:pStyle w:val="Normal"/>
        <w:numPr>
          <w:ilvl w:val="0"/>
          <w:numId w:val="31"/>
        </w:numPr>
        <w:rPr>
          <w:sz w:val="22"/>
        </w:rPr>
      </w:pPr>
      <w:r>
        <w:rPr>
          <w:b/>
          <w:sz w:val="22"/>
          <w:u w:val="single"/>
        </w:rPr>
        <w:t>Settlements</w:t>
      </w:r>
      <w:r>
        <w:rPr>
          <w:sz w:val="22"/>
        </w:rPr>
        <w:t>:  Provides reconciliation of invoices and payments to general ledger, cash management and cash settlements with counterparties;</w:t>
      </w:r>
    </w:p>
    <w:p>
      <w:pPr>
        <w:pStyle w:val="Normal"/>
        <w:numPr>
          <w:ilvl w:val="0"/>
          <w:numId w:val="31"/>
        </w:numPr>
        <w:rPr>
          <w:sz w:val="22"/>
        </w:rPr>
      </w:pPr>
      <w:r>
        <w:rPr>
          <w:b/>
          <w:sz w:val="22"/>
          <w:u w:val="single"/>
        </w:rPr>
        <w:t>Scheduling and Nominations</w:t>
      </w:r>
      <w:r>
        <w:rPr>
          <w:sz w:val="22"/>
        </w:rPr>
        <w:t>: 24 Hour OASIS transmission scheduling, tagging, schedule verification and monitoring, fuel nominations and balancing.</w:t>
      </w:r>
    </w:p>
    <w:p>
      <w:pPr>
        <w:pStyle w:val="Normal"/>
        <w:rPr>
          <w:b/>
          <w:sz w:val="22"/>
          <w:u w:val="single"/>
        </w:rPr>
      </w:pPr>
      <w:r>
        <w:rPr>
          <w:b/>
          <w:sz w:val="22"/>
          <w:u w:val="single"/>
        </w:rPr>
      </w:r>
    </w:p>
    <w:p>
      <w:pPr>
        <w:pStyle w:val="Normal"/>
        <w:numPr>
          <w:ilvl w:val="0"/>
          <w:numId w:val="26"/>
        </w:numPr>
        <w:rPr>
          <w:b/>
          <w:sz w:val="22"/>
          <w:u w:val="single"/>
        </w:rPr>
      </w:pPr>
      <w:r>
        <w:rPr>
          <w:b/>
          <w:sz w:val="22"/>
          <w:u w:val="single"/>
        </w:rPr>
        <w:t>Proposed NewCo Capital Structure:</w:t>
      </w:r>
    </w:p>
    <w:p>
      <w:pPr>
        <w:pStyle w:val="Normal"/>
        <w:rPr>
          <w:b/>
          <w:sz w:val="22"/>
          <w:u w:val="single"/>
        </w:rPr>
      </w:pPr>
      <w:r>
        <w:rPr>
          <w:b/>
          <w:sz w:val="22"/>
          <w:u w:val="single"/>
        </w:rPr>
      </w:r>
    </w:p>
    <w:p>
      <w:pPr>
        <w:pStyle w:val="Normal"/>
        <w:numPr>
          <w:ilvl w:val="0"/>
          <w:numId w:val="9"/>
        </w:numPr>
        <w:rPr>
          <w:sz w:val="22"/>
        </w:rPr>
      </w:pPr>
      <w:r>
        <w:rPr>
          <w:sz w:val="22"/>
        </w:rPr>
        <w:t>Debt: TBD</w:t>
      </w:r>
    </w:p>
    <w:p>
      <w:pPr>
        <w:pStyle w:val="Normal"/>
        <w:numPr>
          <w:ilvl w:val="0"/>
          <w:numId w:val="9"/>
        </w:numPr>
        <w:rPr>
          <w:sz w:val="22"/>
        </w:rPr>
      </w:pPr>
      <w:r>
        <w:rPr>
          <w:sz w:val="22"/>
        </w:rPr>
        <w:t>Equity: Public float up to 40%</w:t>
      </w:r>
    </w:p>
    <w:p>
      <w:pPr>
        <w:pStyle w:val="Normal"/>
        <w:rPr>
          <w:sz w:val="22"/>
        </w:rPr>
      </w:pPr>
      <w:r>
        <w:rPr>
          <w:sz w:val="22"/>
        </w:rPr>
      </w:r>
    </w:p>
    <w:p>
      <w:pPr>
        <w:pStyle w:val="Normal"/>
        <w:rPr>
          <w:sz w:val="22"/>
        </w:rPr>
      </w:pPr>
      <w:r>
        <w:rPr>
          <w:sz w:val="22"/>
        </w:rPr>
        <w:t>ENA and FPL Energy would each receive cash and the remaining 60% of NewCo’s stock in exchange for contributing plants, turbines and development projects to NewCo.</w:t>
      </w:r>
    </w:p>
    <w:p>
      <w:pPr>
        <w:pStyle w:val="Normal"/>
        <w:rPr>
          <w:sz w:val="22"/>
        </w:rPr>
      </w:pPr>
      <w:r>
        <w:rPr>
          <w:sz w:val="22"/>
        </w:rPr>
      </w:r>
    </w:p>
    <w:p>
      <w:pPr>
        <w:pStyle w:val="Normal"/>
        <w:rPr>
          <w:sz w:val="22"/>
        </w:rPr>
      </w:pPr>
      <w:r>
        <w:rPr>
          <w:sz w:val="22"/>
        </w:rPr>
      </w:r>
    </w:p>
    <w:p>
      <w:pPr>
        <w:pStyle w:val="Normal"/>
        <w:numPr>
          <w:ilvl w:val="0"/>
          <w:numId w:val="26"/>
        </w:numPr>
        <w:rPr>
          <w:b/>
          <w:sz w:val="22"/>
          <w:u w:val="single"/>
        </w:rPr>
      </w:pPr>
      <w:r>
        <w:rPr>
          <w:b/>
          <w:sz w:val="22"/>
          <w:u w:val="single"/>
        </w:rPr>
        <w:t>Development:</w:t>
      </w:r>
    </w:p>
    <w:p>
      <w:pPr>
        <w:pStyle w:val="Normal"/>
        <w:rPr>
          <w:b/>
          <w:sz w:val="22"/>
          <w:u w:val="single"/>
        </w:rPr>
      </w:pPr>
      <w:r>
        <w:rPr>
          <w:b/>
          <w:sz w:val="22"/>
          <w:u w:val="single"/>
        </w:rPr>
      </w:r>
    </w:p>
    <w:p>
      <w:pPr>
        <w:pStyle w:val="Normal"/>
        <w:rPr>
          <w:sz w:val="22"/>
        </w:rPr>
      </w:pPr>
      <w:r>
        <w:rPr>
          <w:sz w:val="22"/>
        </w:rPr>
        <w:t xml:space="preserve">ENA and FPL Energy would staff a fully functional development capability inside NewCo.  ENA and FPL Energy would initially provide sites, turbines and other capabilities necessary to demonstrate a backlog of projects and a greenfield development capability. </w:t>
      </w:r>
    </w:p>
    <w:p>
      <w:pPr>
        <w:pStyle w:val="Normal"/>
        <w:rPr>
          <w:sz w:val="22"/>
        </w:rPr>
      </w:pPr>
      <w:r>
        <w:rPr>
          <w:sz w:val="22"/>
        </w:rPr>
      </w:r>
    </w:p>
    <w:p>
      <w:pPr>
        <w:pStyle w:val="Normal"/>
        <w:rPr>
          <w:sz w:val="22"/>
        </w:rPr>
      </w:pPr>
      <w:r>
        <w:rPr>
          <w:sz w:val="22"/>
        </w:rPr>
      </w:r>
    </w:p>
    <w:p>
      <w:pPr>
        <w:pStyle w:val="Normal"/>
        <w:numPr>
          <w:ilvl w:val="0"/>
          <w:numId w:val="26"/>
        </w:numPr>
        <w:rPr>
          <w:b/>
          <w:sz w:val="22"/>
          <w:u w:val="single"/>
        </w:rPr>
      </w:pPr>
      <w:r>
        <w:rPr>
          <w:b/>
          <w:sz w:val="22"/>
          <w:u w:val="single"/>
        </w:rPr>
        <w:t>ENA Contributed Assets:</w:t>
      </w:r>
    </w:p>
    <w:p>
      <w:pPr>
        <w:pStyle w:val="Heading4"/>
        <w:ind w:hanging="0" w:start="0" w:end="0"/>
        <w:rPr>
          <w:b w:val="false"/>
          <w:sz w:val="16"/>
          <w:u w:val="single"/>
        </w:rPr>
      </w:pPr>
      <w:r>
        <w:rPr>
          <w:b w:val="false"/>
          <w:sz w:val="16"/>
          <w:u w:val="single"/>
        </w:rPr>
      </w:r>
    </w:p>
    <w:p>
      <w:pPr>
        <w:pStyle w:val="Normal"/>
        <w:ind w:firstLine="720" w:start="5040" w:end="0"/>
        <w:rPr/>
      </w:pPr>
      <w:r>
        <w:rPr>
          <w:sz w:val="22"/>
        </w:rPr>
        <w:t xml:space="preserve">    </w:t>
      </w:r>
      <w:r>
        <w:rPr>
          <w:sz w:val="22"/>
          <w:u w:val="single"/>
        </w:rPr>
        <w:t xml:space="preserve">Value </w:t>
      </w:r>
    </w:p>
    <w:p>
      <w:pPr>
        <w:pStyle w:val="Normal"/>
        <w:ind w:start="3600" w:end="0"/>
        <w:rPr>
          <w:sz w:val="16"/>
          <w:u w:val="single"/>
        </w:rPr>
      </w:pPr>
      <w:r>
        <w:rPr>
          <w:sz w:val="16"/>
          <w:u w:val="single"/>
        </w:rPr>
      </w:r>
    </w:p>
    <w:p>
      <w:pPr>
        <w:pStyle w:val="Heading4"/>
        <w:spacing w:before="120" w:after="0"/>
        <w:ind w:start="1260" w:end="0"/>
        <w:rPr>
          <w:b w:val="false"/>
          <w:sz w:val="22"/>
        </w:rPr>
      </w:pPr>
      <w:r>
        <w:rPr>
          <w:b w:val="false"/>
          <w:sz w:val="22"/>
        </w:rPr>
        <w:t>- Peakers:</w:t>
        <w:tab/>
        <w:tab/>
        <w:tab/>
        <w:tab/>
        <w:tab/>
        <w:tab/>
        <w:t>$1,100 million</w:t>
      </w:r>
    </w:p>
    <w:p>
      <w:pPr>
        <w:pStyle w:val="Normal"/>
        <w:spacing w:before="120" w:after="0"/>
        <w:ind w:firstLine="720" w:end="0"/>
        <w:rPr>
          <w:sz w:val="22"/>
        </w:rPr>
      </w:pPr>
      <w:r>
        <w:rPr>
          <w:sz w:val="22"/>
        </w:rPr>
        <w:t>- Moore project:</w:t>
        <w:tab/>
        <w:tab/>
        <w:tab/>
        <w:tab/>
        <w:tab/>
        <w:t>TBD</w:t>
      </w:r>
      <w:r>
        <w:rPr>
          <w:sz w:val="22"/>
          <w:vertAlign w:val="superscript"/>
        </w:rPr>
        <w:t>1</w:t>
      </w:r>
    </w:p>
    <w:p>
      <w:pPr>
        <w:pStyle w:val="Normal"/>
        <w:spacing w:before="120" w:after="0"/>
        <w:ind w:hanging="5040" w:start="5760" w:end="0"/>
        <w:rPr/>
      </w:pPr>
      <w:r>
        <w:rPr>
          <w:sz w:val="22"/>
        </w:rPr>
        <w:t>- Pastoria and LV Cogen II development projects:</w:t>
        <w:tab/>
        <w:t>$136 million</w:t>
      </w:r>
      <w:r>
        <w:rPr>
          <w:sz w:val="22"/>
          <w:vertAlign w:val="superscript"/>
        </w:rPr>
        <w:t>2</w:t>
      </w:r>
      <w:r>
        <w:rPr>
          <w:sz w:val="22"/>
        </w:rPr>
        <w:t xml:space="preserve"> plus LM 6000’s and 3 GE 7 FA commitments</w:t>
      </w:r>
    </w:p>
    <w:p>
      <w:pPr>
        <w:pStyle w:val="Normal"/>
        <w:spacing w:before="120" w:after="0"/>
        <w:ind w:firstLine="720" w:end="0"/>
        <w:rPr>
          <w:sz w:val="22"/>
        </w:rPr>
      </w:pPr>
      <w:r>
        <w:rPr>
          <w:sz w:val="22"/>
        </w:rPr>
        <w:t>- Other Sites and Turbines:</w:t>
        <w:tab/>
        <w:tab/>
        <w:tab/>
        <w:tab/>
        <w:t>TBD</w:t>
      </w:r>
      <w:r>
        <w:rPr>
          <w:sz w:val="22"/>
          <w:vertAlign w:val="superscript"/>
        </w:rPr>
        <w:t>1</w:t>
      </w:r>
    </w:p>
    <w:p>
      <w:pPr>
        <w:pStyle w:val="Normal"/>
        <w:rPr>
          <w:sz w:val="22"/>
        </w:rPr>
      </w:pPr>
      <w:r>
        <w:rPr>
          <w:sz w:val="22"/>
        </w:rPr>
      </w:r>
    </w:p>
    <w:p>
      <w:pPr>
        <w:pStyle w:val="Normal"/>
        <w:numPr>
          <w:ilvl w:val="0"/>
          <w:numId w:val="11"/>
        </w:numPr>
        <w:rPr/>
      </w:pPr>
      <w:r>
        <w:rPr/>
        <w:t>To be determined at a later date.</w:t>
      </w:r>
    </w:p>
    <w:p>
      <w:pPr>
        <w:pStyle w:val="Normal"/>
        <w:numPr>
          <w:ilvl w:val="0"/>
          <w:numId w:val="11"/>
        </w:numPr>
        <w:rPr>
          <w:color w:val="000000"/>
          <w:lang w:eastAsia="en-US"/>
        </w:rPr>
      </w:pPr>
      <w:r>
        <w:rPr>
          <w:color w:val="000000"/>
          <w:lang w:eastAsia="en-US"/>
        </w:rPr>
        <w:t xml:space="preserve">Includes approximately $115 million for Pastoria and $21 million for LV Cogen II, and is subject to completion of certain agreed upon development milestones including execution of gas supply and transportation agreements, interconnection agreements, receipt of air permits (CEC permit in California), ERC’s and EPC agreements. </w:t>
        <w:tab/>
      </w:r>
    </w:p>
    <w:p>
      <w:pPr>
        <w:pStyle w:val="Heading4"/>
        <w:rPr>
          <w:b w:val="false"/>
          <w:color w:val="000000"/>
          <w:sz w:val="22"/>
          <w:lang w:eastAsia="en-US"/>
        </w:rPr>
      </w:pPr>
      <w:r>
        <w:rPr>
          <w:b w:val="false"/>
          <w:color w:val="000000"/>
          <w:sz w:val="22"/>
          <w:lang w:eastAsia="en-US"/>
        </w:rPr>
      </w:r>
    </w:p>
    <w:p>
      <w:pPr>
        <w:pStyle w:val="Normal"/>
        <w:rPr>
          <w:b/>
          <w:sz w:val="22"/>
        </w:rPr>
      </w:pPr>
      <w:r>
        <w:rPr>
          <w:b/>
          <w:sz w:val="22"/>
        </w:rPr>
      </w:r>
    </w:p>
    <w:p>
      <w:pPr>
        <w:pStyle w:val="Normal"/>
        <w:numPr>
          <w:ilvl w:val="0"/>
          <w:numId w:val="26"/>
        </w:numPr>
        <w:rPr>
          <w:b/>
          <w:sz w:val="22"/>
          <w:u w:val="single"/>
        </w:rPr>
      </w:pPr>
      <w:r>
        <w:rPr>
          <w:b/>
          <w:sz w:val="22"/>
          <w:u w:val="single"/>
        </w:rPr>
        <w:t>PPA’s:</w:t>
      </w:r>
    </w:p>
    <w:p>
      <w:pPr>
        <w:pStyle w:val="Heading4"/>
        <w:rPr>
          <w:b w:val="false"/>
          <w:sz w:val="22"/>
          <w:u w:val="single"/>
        </w:rPr>
      </w:pPr>
      <w:r>
        <w:rPr>
          <w:b w:val="false"/>
          <w:sz w:val="22"/>
          <w:u w:val="single"/>
        </w:rPr>
      </w:r>
    </w:p>
    <w:p>
      <w:pPr>
        <w:pStyle w:val="Normal"/>
        <w:rPr>
          <w:sz w:val="22"/>
        </w:rPr>
      </w:pPr>
      <w:r>
        <w:rPr>
          <w:sz w:val="22"/>
        </w:rPr>
        <w:t xml:space="preserve">ENA would like to retain a three year tolling agreement on the 1999 and 2000 Peakers beginning 2001. Further, ENA would like to retain a five year tolling agreement on Project Moore beginning Summer 2001. A proposed tolling contract is attached. ENA would potentially like to discuss offtake agreements on Pastoria and LV Cogen II at a future date.   </w:t>
      </w:r>
    </w:p>
    <w:p>
      <w:pPr>
        <w:pStyle w:val="Normal"/>
        <w:rPr>
          <w:sz w:val="22"/>
        </w:rPr>
      </w:pPr>
      <w:r>
        <w:rPr>
          <w:sz w:val="22"/>
        </w:rPr>
      </w:r>
    </w:p>
    <w:p>
      <w:pPr>
        <w:pStyle w:val="Normal"/>
        <w:rPr>
          <w:sz w:val="22"/>
        </w:rPr>
      </w:pPr>
      <w:r>
        <w:rPr>
          <w:sz w:val="22"/>
        </w:rPr>
      </w:r>
    </w:p>
    <w:p>
      <w:pPr>
        <w:pStyle w:val="Normal"/>
        <w:numPr>
          <w:ilvl w:val="0"/>
          <w:numId w:val="26"/>
        </w:numPr>
        <w:rPr>
          <w:b/>
          <w:sz w:val="22"/>
          <w:u w:val="single"/>
        </w:rPr>
      </w:pPr>
      <w:r>
        <w:rPr>
          <w:b/>
          <w:sz w:val="22"/>
          <w:u w:val="single"/>
        </w:rPr>
        <w:t>FPL Energy Contributed Assets:</w:t>
      </w:r>
    </w:p>
    <w:p>
      <w:pPr>
        <w:pStyle w:val="Heading4"/>
        <w:rPr>
          <w:b w:val="false"/>
          <w:sz w:val="22"/>
          <w:u w:val="single"/>
        </w:rPr>
      </w:pPr>
      <w:r>
        <w:rPr>
          <w:b w:val="false"/>
          <w:sz w:val="22"/>
          <w:u w:val="single"/>
        </w:rPr>
      </w:r>
    </w:p>
    <w:p>
      <w:pPr>
        <w:pStyle w:val="FootnoteText"/>
        <w:rPr>
          <w:sz w:val="22"/>
        </w:rPr>
      </w:pPr>
      <w:r>
        <w:rPr>
          <w:sz w:val="22"/>
        </w:rPr>
        <w:t>To be determined</w:t>
      </w:r>
    </w:p>
    <w:p>
      <w:pPr>
        <w:pStyle w:val="Normal"/>
        <w:rPr>
          <w:sz w:val="22"/>
        </w:rPr>
      </w:pPr>
      <w:r>
        <w:rPr>
          <w:sz w:val="22"/>
        </w:rPr>
      </w:r>
    </w:p>
    <w:p>
      <w:pPr>
        <w:pStyle w:val="Normal"/>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r>
    </w:p>
    <w:p>
      <w:pPr>
        <w:pStyle w:val="Heading4"/>
        <w:ind w:hanging="0" w:end="0"/>
        <w:rPr/>
      </w:pPr>
      <w:r>
        <w:rPr/>
        <w:t>2.</w:t>
        <w:tab/>
        <w:t xml:space="preserve">Preliminary Terms of </w:t>
      </w:r>
    </w:p>
    <w:p>
      <w:pPr>
        <w:pStyle w:val="Heading4"/>
        <w:ind w:firstLine="180" w:start="1260" w:end="0"/>
        <w:rPr/>
      </w:pPr>
      <w:r>
        <w:rPr/>
        <w:t>Power Purchase Agreement</w:t>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Normal"/>
        <w:ind w:firstLine="180" w:start="1260" w:end="0"/>
        <w:rPr>
          <w:b/>
          <w:sz w:val="40"/>
        </w:rPr>
      </w:pPr>
      <w:r>
        <w:rPr>
          <w:b/>
          <w:sz w:val="40"/>
        </w:rPr>
      </w:r>
    </w:p>
    <w:p>
      <w:pPr>
        <w:pStyle w:val="Header"/>
        <w:jc w:val="end"/>
        <w:rPr>
          <w:rFonts w:ascii="Times New Roman" w:hAnsi="Times New Roman" w:cs="Times New Roman"/>
          <w:b/>
          <w:sz w:val="40"/>
        </w:rPr>
      </w:pPr>
      <w:r>
        <w:rPr>
          <w:rFonts w:cs="Times New Roman" w:ascii="Times New Roman" w:hAnsi="Times New Roman"/>
          <w:b/>
          <w:sz w:val="40"/>
        </w:rPr>
      </w:r>
    </w:p>
    <w:p>
      <w:pPr>
        <w:pStyle w:val="Header"/>
        <w:jc w:val="end"/>
        <w:rPr>
          <w:rFonts w:ascii="Times New Roman" w:hAnsi="Times New Roman" w:cs="Times New Roman"/>
        </w:rPr>
      </w:pPr>
      <w:r>
        <w:rPr>
          <w:rFonts w:cs="Times New Roman" w:ascii="Times New Roman" w:hAnsi="Times New Roman"/>
        </w:rPr>
      </w:r>
    </w:p>
    <w:p>
      <w:pPr>
        <w:pStyle w:val="Header"/>
        <w:jc w:val="end"/>
        <w:rPr>
          <w:rFonts w:ascii="Times New Roman" w:hAnsi="Times New Roman" w:cs="Times New Roman"/>
        </w:rPr>
      </w:pPr>
      <w:r>
        <w:rPr>
          <w:rFonts w:cs="Times New Roman" w:ascii="Times New Roman" w:hAnsi="Times New Roman"/>
        </w:rPr>
        <w:t>DRAFT: FOR REVIEW AND DISCUSSION PURPOSES ONLY</w:t>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Power Purchase Agreements</w:t>
      </w:r>
    </w:p>
    <w:p>
      <w:pPr>
        <w:pStyle w:val="Normal"/>
        <w:rPr>
          <w:rFonts w:ascii="Times New Roman" w:hAnsi="Times New Roman" w:cs="Times New Roman"/>
          <w:sz w:val="22"/>
        </w:rPr>
      </w:pPr>
      <w:r>
        <w:rPr>
          <w:rFonts w:cs="Times New Roman"/>
          <w:sz w:val="22"/>
        </w:rPr>
      </w:r>
    </w:p>
    <w:tbl>
      <w:tblPr>
        <w:tblW w:w="9144" w:type="dxa"/>
        <w:jc w:val="start"/>
        <w:tblInd w:w="144" w:type="dxa"/>
        <w:tblLayout w:type="fixed"/>
        <w:tblCellMar>
          <w:top w:w="0" w:type="dxa"/>
          <w:start w:w="108" w:type="dxa"/>
          <w:bottom w:w="0" w:type="dxa"/>
          <w:end w:w="108" w:type="dxa"/>
        </w:tblCellMar>
      </w:tblPr>
      <w:tblGrid>
        <w:gridCol w:w="4554"/>
        <w:gridCol w:w="4590"/>
      </w:tblGrid>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Buyer</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Enron Power Marketing, Inc.</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 xml:space="preserve">Seller </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NewCo.</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Fixed Price Period</w:t>
            </w:r>
          </w:p>
          <w:p>
            <w:pPr>
              <w:pStyle w:val="Normal"/>
              <w:rPr>
                <w:sz w:val="22"/>
              </w:rPr>
            </w:pPr>
            <w:r>
              <w:rPr>
                <w:sz w:val="22"/>
              </w:rPr>
            </w:r>
          </w:p>
          <w:p>
            <w:pPr>
              <w:pStyle w:val="Heading2"/>
              <w:ind w:hanging="0" w:start="0"/>
              <w:rPr>
                <w:rFonts w:ascii="Times New Roman" w:hAnsi="Times New Roman" w:cs="Times New Roman"/>
                <w:b w:val="false"/>
                <w:i/>
                <w:i/>
                <w:sz w:val="22"/>
              </w:rPr>
            </w:pPr>
            <w:r>
              <w:rPr>
                <w:rFonts w:cs="Times New Roman" w:ascii="Times New Roman" w:hAnsi="Times New Roman"/>
                <w:b w:val="false"/>
                <w:i/>
                <w:sz w:val="22"/>
              </w:rPr>
              <w:t>See Attached PPA Summary Table</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sz w:val="22"/>
              </w:rPr>
              <w:t>Buyer must pay a fixed monthly Demand Charge</w:t>
            </w:r>
            <w:r>
              <w:rPr>
                <w:sz w:val="22"/>
                <w:vertAlign w:val="superscript"/>
              </w:rPr>
              <w:t>*</w:t>
            </w:r>
            <w:r>
              <w:rPr>
                <w:sz w:val="22"/>
              </w:rPr>
              <w:t xml:space="preserve"> in exchange for its right to capacity, energy and ancillary services.  When energy or ancillary services are scheduled, Buyer must supply fuel, take output and pay an Energy Charge</w:t>
            </w:r>
            <w:r>
              <w:rPr>
                <w:sz w:val="22"/>
                <w:vertAlign w:val="superscript"/>
              </w:rPr>
              <w:t>*</w:t>
            </w:r>
            <w:r>
              <w:rPr>
                <w:sz w:val="22"/>
              </w:rPr>
              <w:t xml:space="preserve"> plus a Start Charge</w:t>
            </w:r>
            <w:r>
              <w:rPr>
                <w:sz w:val="22"/>
                <w:vertAlign w:val="superscript"/>
              </w:rPr>
              <w:t>*</w:t>
            </w:r>
            <w:r>
              <w:rPr>
                <w:sz w:val="22"/>
              </w:rPr>
              <w:t>.</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Quantity</w:t>
            </w:r>
          </w:p>
          <w:p>
            <w:pPr>
              <w:pStyle w:val="Normal"/>
              <w:rPr>
                <w:sz w:val="22"/>
              </w:rPr>
            </w:pPr>
            <w:r>
              <w:rPr>
                <w:sz w:val="22"/>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Actual output level of each plant as established initially by a performance test and calculated annually based upon agreed upon curves (subject to either party’s right to request a re-test with the cost thereof to be shared equally by both parties).</w:t>
            </w:r>
          </w:p>
          <w:p>
            <w:pPr>
              <w:pStyle w:val="Normal"/>
              <w:rPr>
                <w:sz w:val="22"/>
              </w:rPr>
            </w:pPr>
            <w:r>
              <w:rPr>
                <w:sz w:val="22"/>
              </w:rPr>
              <w:t xml:space="preserve"> </w:t>
            </w:r>
          </w:p>
          <w:p>
            <w:pPr>
              <w:pStyle w:val="Normal"/>
              <w:rPr>
                <w:sz w:val="22"/>
              </w:rPr>
            </w:pPr>
            <w:r>
              <w:rPr>
                <w:sz w:val="22"/>
              </w:rPr>
              <w:t>In each hour, quantity is adjusted for ambient conditions to calculate the amount of available output.</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Normal"/>
              <w:rPr/>
            </w:pPr>
            <w:r>
              <w:rPr>
                <w:sz w:val="22"/>
              </w:rPr>
              <w:t xml:space="preserve"> </w:t>
            </w:r>
            <w:r>
              <w:rPr>
                <w:b/>
                <w:sz w:val="22"/>
              </w:rPr>
              <w:t>Hours in which Buyer can Schedule</w:t>
            </w:r>
          </w:p>
          <w:p>
            <w:pPr>
              <w:pStyle w:val="Normal"/>
              <w:rPr>
                <w:b/>
                <w:sz w:val="22"/>
              </w:rPr>
            </w:pPr>
            <w:r>
              <w:rPr>
                <w:b/>
                <w:sz w:val="22"/>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sz w:val="22"/>
              </w:rPr>
              <w:t>On Peak Hours</w:t>
            </w:r>
            <w:r>
              <w:rPr>
                <w:sz w:val="22"/>
                <w:vertAlign w:val="superscript"/>
              </w:rPr>
              <w:t>*</w:t>
            </w:r>
            <w:r>
              <w:rPr>
                <w:sz w:val="22"/>
              </w:rPr>
              <w:t xml:space="preserve"> are those listed on the </w:t>
            </w:r>
            <w:r>
              <w:rPr>
                <w:i/>
                <w:sz w:val="22"/>
              </w:rPr>
              <w:t>PPA Summary Table</w:t>
            </w:r>
            <w:r>
              <w:rPr>
                <w:sz w:val="22"/>
              </w:rPr>
              <w:t>.</w:t>
            </w:r>
          </w:p>
          <w:p>
            <w:pPr>
              <w:pStyle w:val="Normal"/>
              <w:rPr>
                <w:sz w:val="22"/>
              </w:rPr>
            </w:pPr>
            <w:r>
              <w:rPr>
                <w:sz w:val="22"/>
              </w:rPr>
            </w:r>
          </w:p>
          <w:p>
            <w:pPr>
              <w:pStyle w:val="Normal"/>
              <w:rPr>
                <w:sz w:val="22"/>
              </w:rPr>
            </w:pPr>
            <w:r>
              <w:rPr>
                <w:sz w:val="22"/>
              </w:rPr>
              <w:t>During Off Peak Hours (those other than On Peak Hours), Seller has a best efforts obligation to supply but there are no penalty provisions associated with a failure to deliver.</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Minimum Block Size, Duration</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Size</w:t>
            </w:r>
            <w:r>
              <w:rPr>
                <w:sz w:val="22"/>
                <w:vertAlign w:val="superscript"/>
              </w:rPr>
              <w:t>*</w:t>
            </w:r>
            <w:r>
              <w:rPr>
                <w:sz w:val="22"/>
              </w:rPr>
              <w:t xml:space="preserve"> – </w:t>
            </w:r>
            <w:r>
              <w:rPr>
                <w:i/>
                <w:sz w:val="22"/>
              </w:rPr>
              <w:t>See Attached PPA Summary Table</w:t>
            </w:r>
          </w:p>
          <w:p>
            <w:pPr>
              <w:pStyle w:val="Normal"/>
              <w:rPr>
                <w:sz w:val="22"/>
              </w:rPr>
            </w:pPr>
            <w:r>
              <w:rPr>
                <w:sz w:val="22"/>
              </w:rPr>
              <w:t>Minimum Duration = 2 hours.</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Guaranteed Availability for Damages</w:t>
            </w:r>
          </w:p>
          <w:p>
            <w:pPr>
              <w:pStyle w:val="Normal"/>
              <w:rPr>
                <w:sz w:val="22"/>
              </w:rPr>
            </w:pPr>
            <w:r>
              <w:rPr>
                <w:sz w:val="22"/>
              </w:rPr>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i/>
                <w:sz w:val="22"/>
              </w:rPr>
              <w:t>See Attached PPA Summary Table</w:t>
            </w:r>
            <w:r>
              <w:rPr>
                <w:sz w:val="22"/>
              </w:rPr>
              <w:t xml:space="preserve"> for Availability Requirements. </w:t>
            </w:r>
          </w:p>
          <w:p>
            <w:pPr>
              <w:pStyle w:val="Normal"/>
              <w:rPr>
                <w:sz w:val="22"/>
              </w:rPr>
            </w:pPr>
            <w:r>
              <w:rPr>
                <w:sz w:val="22"/>
              </w:rPr>
            </w:r>
          </w:p>
          <w:p>
            <w:pPr>
              <w:pStyle w:val="Normal"/>
              <w:rPr/>
            </w:pPr>
            <w:r>
              <w:rPr>
                <w:sz w:val="22"/>
                <w:u w:val="single"/>
              </w:rPr>
              <w:t>Summer Months</w:t>
            </w:r>
            <w:r>
              <w:rPr>
                <w:sz w:val="22"/>
              </w:rPr>
              <w:t xml:space="preserve"> = May, June, July, August, September</w:t>
              <w:tab/>
            </w:r>
          </w:p>
          <w:p>
            <w:pPr>
              <w:pStyle w:val="Normal"/>
              <w:rPr/>
            </w:pPr>
            <w:r>
              <w:rPr>
                <w:sz w:val="22"/>
                <w:u w:val="single"/>
              </w:rPr>
              <w:t>Shoulder Months</w:t>
            </w:r>
            <w:r>
              <w:rPr>
                <w:sz w:val="22"/>
              </w:rPr>
              <w:t xml:space="preserve"> = March, October</w:t>
            </w:r>
          </w:p>
          <w:p>
            <w:pPr>
              <w:pStyle w:val="Normal"/>
              <w:rPr/>
            </w:pPr>
            <w:r>
              <w:rPr>
                <w:sz w:val="22"/>
                <w:u w:val="single"/>
              </w:rPr>
              <w:t>Winter Months</w:t>
            </w:r>
            <w:r>
              <w:rPr>
                <w:sz w:val="22"/>
              </w:rPr>
              <w:t xml:space="preserve"> = April, November, December, January, February</w:t>
              <w:tab/>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4"/>
              <w:rPr>
                <w:sz w:val="22"/>
              </w:rPr>
            </w:pPr>
            <w:r>
              <w:rPr>
                <w:sz w:val="22"/>
              </w:rPr>
              <w:t>Damages</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Cost of cover damages.</w:t>
            </w:r>
          </w:p>
        </w:tc>
      </w:tr>
    </w:tbl>
    <w:p>
      <w:pPr>
        <w:pStyle w:val="Normal"/>
        <w:ind w:hanging="540" w:start="540" w:end="0"/>
        <w:rPr>
          <w:color w:val="000000"/>
          <w:lang w:eastAsia="en-US"/>
        </w:rPr>
      </w:pPr>
      <w:r>
        <w:rPr>
          <w:color w:val="000000"/>
          <w:lang w:eastAsia="en-US"/>
        </w:rPr>
      </w:r>
    </w:p>
    <w:p>
      <w:pPr>
        <w:pStyle w:val="Footer"/>
        <w:rPr/>
      </w:pPr>
      <w:r>
        <w:rPr>
          <w:sz w:val="22"/>
          <w:vertAlign w:val="superscript"/>
        </w:rPr>
        <w:t>*</w:t>
      </w:r>
      <w:r>
        <w:rPr>
          <w:sz w:val="22"/>
        </w:rPr>
        <w:t xml:space="preserve"> Terms are defined on the PPA Summary Table attached hereto.</w:t>
      </w:r>
    </w:p>
    <w:p>
      <w:pPr>
        <w:pStyle w:val="Normal"/>
        <w:ind w:hanging="540" w:start="540" w:end="0"/>
        <w:rPr>
          <w:b/>
          <w:color w:val="000000"/>
          <w:sz w:val="28"/>
          <w:lang w:eastAsia="en-US"/>
        </w:rPr>
      </w:pPr>
      <w:r>
        <w:rPr>
          <w:b/>
          <w:color w:val="000000"/>
          <w:sz w:val="28"/>
          <w:lang w:eastAsia="en-US"/>
        </w:rPr>
      </w:r>
    </w:p>
    <w:p>
      <w:pPr>
        <w:pStyle w:val="Normal"/>
        <w:ind w:hanging="540" w:start="540" w:end="0"/>
        <w:jc w:val="end"/>
        <w:rPr>
          <w:b/>
          <w:color w:val="000000"/>
          <w:sz w:val="28"/>
          <w:lang w:eastAsia="en-US"/>
        </w:rPr>
      </w:pPr>
      <w:r>
        <w:rPr>
          <w:b/>
          <w:color w:val="000000"/>
          <w:sz w:val="28"/>
          <w:lang w:eastAsia="en-US"/>
        </w:rPr>
      </w:r>
      <w:r>
        <w:br w:type="page"/>
      </w:r>
    </w:p>
    <w:p>
      <w:pPr>
        <w:pStyle w:val="Normal"/>
        <w:ind w:hanging="540" w:start="540" w:end="0"/>
        <w:jc w:val="end"/>
        <w:rPr/>
      </w:pPr>
      <w:r>
        <w:rPr/>
        <w:t>DRAFT: FOR REVIEW AND DISCUSSION PURPOSES ONLY</w:t>
      </w:r>
    </w:p>
    <w:p>
      <w:pPr>
        <w:pStyle w:val="Normal"/>
        <w:ind w:hanging="540" w:start="540" w:end="0"/>
        <w:jc w:val="end"/>
        <w:rPr>
          <w:b/>
          <w:color w:val="000000"/>
          <w:sz w:val="28"/>
          <w:lang w:eastAsia="en-US"/>
        </w:rPr>
      </w:pPr>
      <w:r>
        <w:rPr>
          <w:b/>
          <w:color w:val="000000"/>
          <w:sz w:val="28"/>
          <w:lang w:eastAsia="en-US"/>
        </w:rPr>
      </w:r>
    </w:p>
    <w:tbl>
      <w:tblPr>
        <w:tblW w:w="9144" w:type="dxa"/>
        <w:jc w:val="start"/>
        <w:tblInd w:w="144" w:type="dxa"/>
        <w:tblLayout w:type="fixed"/>
        <w:tblCellMar>
          <w:top w:w="0" w:type="dxa"/>
          <w:start w:w="108" w:type="dxa"/>
          <w:bottom w:w="0" w:type="dxa"/>
          <w:end w:w="108" w:type="dxa"/>
        </w:tblCellMar>
      </w:tblPr>
      <w:tblGrid>
        <w:gridCol w:w="4554"/>
        <w:gridCol w:w="4590"/>
      </w:tblGrid>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Gas Transportation</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During Fixed Price Period, Seller shall own the gas transportation rights but Buyer shall be entitled to exclusive use thereof and must pay all costs.</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Automatic Generating Control</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Buyer has right to install, pay for and utilize automatic generation control.</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 xml:space="preserve">Payment </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Demand Charges and Energy Charges paid monthly.</w:t>
            </w:r>
          </w:p>
          <w:p>
            <w:pPr>
              <w:pStyle w:val="Normal"/>
              <w:rPr>
                <w:sz w:val="22"/>
              </w:rPr>
            </w:pPr>
            <w:r>
              <w:rPr>
                <w:sz w:val="22"/>
              </w:rPr>
            </w:r>
          </w:p>
          <w:p>
            <w:pPr>
              <w:pStyle w:val="Normal"/>
              <w:rPr>
                <w:sz w:val="22"/>
              </w:rPr>
            </w:pPr>
            <w:r>
              <w:rPr>
                <w:sz w:val="22"/>
              </w:rPr>
              <w:t>Start Charges paid annually.</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Event of Default</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Typical events of default, including if the average monthly actual availability is below: (1) 80% for any consecutive twelve month period, (2) 85% for any consecutive twenty-four month period or (3) 90% for the Summer Months in any calendar year. </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Heat Rate Guaranty</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sz w:val="22"/>
              </w:rPr>
              <w:t>The heat rate of each plant shall not exceed the Guaranteed Heat Rate</w:t>
            </w:r>
            <w:r>
              <w:rPr>
                <w:sz w:val="22"/>
                <w:vertAlign w:val="superscript"/>
              </w:rPr>
              <w:t>*</w:t>
            </w:r>
            <w:r>
              <w:rPr>
                <w:sz w:val="22"/>
              </w:rPr>
              <w:t>.</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Heat Rate Penalty</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Seller shall pay the actual fuel costs (based on Buyer’s cost therefor) for any additional fuel required because the actual plant heat rate exceeds the Guaranteed Heat Rate.</w:t>
            </w:r>
          </w:p>
        </w:tc>
      </w:tr>
      <w:tr>
        <w:trPr>
          <w:trHeight w:val="558" w:hRule="atLeast"/>
        </w:trPr>
        <w:tc>
          <w:tcPr>
            <w:tcW w:w="4554" w:type="dxa"/>
            <w:tcBorders>
              <w:top w:val="single" w:sz="4" w:space="0" w:color="000000"/>
              <w:start w:val="single" w:sz="4" w:space="0" w:color="000000"/>
              <w:bottom w:val="single" w:sz="4" w:space="0" w:color="000000"/>
              <w:end w:val="single" w:sz="4" w:space="0" w:color="000000"/>
            </w:tcBorders>
          </w:tcPr>
          <w:p>
            <w:pPr>
              <w:pStyle w:val="Heading3"/>
              <w:ind w:hanging="0" w:start="0"/>
              <w:rPr>
                <w:sz w:val="22"/>
              </w:rPr>
            </w:pPr>
            <w:r>
              <w:rPr>
                <w:sz w:val="22"/>
              </w:rPr>
              <w:t>Scheduling</w:t>
            </w:r>
          </w:p>
        </w:tc>
        <w:tc>
          <w:tcPr>
            <w:tcW w:w="45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Buyer shall be able to call on each plant after providing the Minimum Dispatch Notice prior to when the energy or ancillary services are needed.  </w:t>
            </w:r>
          </w:p>
          <w:p>
            <w:pPr>
              <w:pStyle w:val="Normal"/>
              <w:rPr>
                <w:sz w:val="22"/>
              </w:rPr>
            </w:pPr>
            <w:r>
              <w:rPr>
                <w:sz w:val="22"/>
              </w:rPr>
            </w:r>
          </w:p>
          <w:p>
            <w:pPr>
              <w:pStyle w:val="Normal"/>
              <w:rPr/>
            </w:pPr>
            <w:r>
              <w:rPr>
                <w:sz w:val="22"/>
              </w:rPr>
              <w:t>Buyer’s ability to Schedule shall be limited to the Maximum Annual MWh’s</w:t>
            </w:r>
            <w:r>
              <w:rPr>
                <w:sz w:val="22"/>
                <w:vertAlign w:val="superscript"/>
              </w:rPr>
              <w:t>*</w:t>
            </w:r>
            <w:r>
              <w:rPr>
                <w:sz w:val="22"/>
              </w:rPr>
              <w:t xml:space="preserve"> for each plant.</w:t>
            </w:r>
          </w:p>
        </w:tc>
      </w:tr>
    </w:tbl>
    <w:p>
      <w:pPr>
        <w:pStyle w:val="Normal"/>
        <w:rPr/>
      </w:pPr>
      <w:r>
        <w:rPr/>
      </w:r>
    </w:p>
    <w:p>
      <w:pPr>
        <w:pStyle w:val="Footer"/>
        <w:rPr/>
      </w:pPr>
      <w:r>
        <w:rPr>
          <w:sz w:val="22"/>
          <w:vertAlign w:val="superscript"/>
        </w:rPr>
        <w:t>*</w:t>
      </w:r>
      <w:r>
        <w:rPr>
          <w:sz w:val="22"/>
        </w:rPr>
        <w:t xml:space="preserve"> Terms are defined on the PPA Summary Table attached hereto.</w:t>
      </w:r>
    </w:p>
    <w:p>
      <w:pPr>
        <w:pStyle w:val="Normal"/>
        <w:rPr>
          <w:color w:val="000000"/>
          <w:sz w:val="24"/>
          <w:lang w:eastAsia="en-US"/>
        </w:rPr>
      </w:pPr>
      <w:r>
        <w:rPr>
          <w:color w:val="000000"/>
          <w:sz w:val="24"/>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sectPr>
          <w:headerReference w:type="default" r:id="rId2"/>
          <w:headerReference w:type="first" r:id="rId3"/>
          <w:footerReference w:type="default" r:id="rId4"/>
          <w:footerReference w:type="first" r:id="rId5"/>
          <w:type w:val="nextPage"/>
          <w:pgSz w:w="12240" w:h="15840"/>
          <w:pgMar w:left="1440" w:right="1440" w:gutter="0" w:header="720" w:top="1872" w:footer="432" w:bottom="1440"/>
          <w:pgNumType w:start="1" w:fmt="decimal"/>
          <w:formProt w:val="false"/>
          <w:titlePg/>
          <w:textDirection w:val="lrTb"/>
          <w:docGrid w:type="default" w:linePitch="360" w:charSpace="0"/>
        </w:sectPr>
        <w:pStyle w:val="Normal"/>
        <w:ind w:hanging="540" w:start="540" w:end="0"/>
        <w:rPr>
          <w:b/>
          <w:color w:val="000000"/>
          <w:sz w:val="28"/>
          <w:lang w:eastAsia="en-US"/>
        </w:rPr>
      </w:pPr>
      <w:r>
        <w:rPr>
          <w:b/>
          <w:color w:val="000000"/>
          <w:sz w:val="28"/>
          <w:lang w:eastAsia="en-US"/>
        </w:rPr>
      </w:r>
    </w:p>
    <w:p>
      <w:pPr>
        <w:pStyle w:val="Normal"/>
        <w:jc w:val="end"/>
        <w:rPr/>
      </w:pPr>
      <w:r>
        <w:rPr/>
        <w:t>DRAFT: FOR REVIEW AND DISCUSSION PURPOSES ONLY</w:t>
      </w:r>
    </w:p>
    <w:p>
      <w:pPr>
        <w:pStyle w:val="Normal"/>
        <w:jc w:val="end"/>
        <w:rPr/>
      </w:pPr>
      <w:r>
        <w:rPr/>
      </w:r>
    </w:p>
    <w:tbl>
      <w:tblPr>
        <w:tblW w:w="14670" w:type="dxa"/>
        <w:jc w:val="start"/>
        <w:tblInd w:w="-702" w:type="dxa"/>
        <w:tblLayout w:type="fixed"/>
        <w:tblCellMar>
          <w:top w:w="0" w:type="dxa"/>
          <w:start w:w="108" w:type="dxa"/>
          <w:bottom w:w="0" w:type="dxa"/>
          <w:end w:w="108" w:type="dxa"/>
        </w:tblCellMar>
      </w:tblPr>
      <w:tblGrid>
        <w:gridCol w:w="1833"/>
        <w:gridCol w:w="1834"/>
        <w:gridCol w:w="1834"/>
        <w:gridCol w:w="1834"/>
        <w:gridCol w:w="1833"/>
        <w:gridCol w:w="1834"/>
        <w:gridCol w:w="1834"/>
        <w:gridCol w:w="1834"/>
      </w:tblGrid>
      <w:tr>
        <w:trPr>
          <w:tblHeader w:val="true"/>
        </w:trPr>
        <w:tc>
          <w:tcPr>
            <w:tcW w:w="14670" w:type="dxa"/>
            <w:gridSpan w:val="8"/>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sz w:val="24"/>
              </w:rPr>
              <w:t>PPA SUMMARY TABLE</w:t>
            </w:r>
          </w:p>
        </w:tc>
      </w:tr>
      <w:tr>
        <w:trPr>
          <w:tblHeader w:val="true"/>
        </w:trPr>
        <w:tc>
          <w:tcPr>
            <w:tcW w:w="1833"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b/>
              </w:rPr>
            </w:pPr>
            <w:r>
              <w:rPr>
                <w:b/>
              </w:rPr>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Brownsville</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Caledonia</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New Albany</w:t>
            </w:r>
          </w:p>
        </w:tc>
        <w:tc>
          <w:tcPr>
            <w:tcW w:w="1833"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Wilton Center</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Wheatland</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Gleason</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Moore</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ind w:start="-18" w:end="0"/>
              <w:rPr/>
            </w:pPr>
            <w:r>
              <w:rPr/>
              <w:t>Output**</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458</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446</w:t>
            </w:r>
            <w:r>
              <w:rPr>
                <w:rStyle w:val="FootnoteCharacters"/>
                <w:rStyle w:val="FootnoteReference"/>
              </w:rPr>
              <w:footnoteReference w:id="2"/>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356</w:t>
            </w:r>
            <w:r>
              <w:rPr>
                <w:vertAlign w:val="superscript"/>
              </w:rPr>
              <w:t>1</w:t>
            </w:r>
            <w:r>
              <w:rPr/>
              <w:t xml:space="preserve"> </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608</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470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510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396</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On Peak Hours</w:t>
            </w:r>
          </w:p>
          <w:p>
            <w:pPr>
              <w:pStyle w:val="Normal"/>
              <w:rPr/>
            </w:pPr>
            <w:r>
              <w:rPr/>
              <w:t>(Central Prevailing Time)</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 xml:space="preserve">HE 0700 – </w:t>
            </w:r>
          </w:p>
          <w:p>
            <w:pPr>
              <w:pStyle w:val="Normal"/>
              <w:rPr/>
            </w:pPr>
            <w:r>
              <w:rPr/>
              <w:t>HE 2200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 xml:space="preserve">HE 0700 – </w:t>
            </w:r>
          </w:p>
          <w:p>
            <w:pPr>
              <w:pStyle w:val="Normal"/>
              <w:rPr/>
            </w:pPr>
            <w:r>
              <w:rPr/>
              <w:t>HE 2200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 xml:space="preserve">HE 0700 – </w:t>
            </w:r>
          </w:p>
          <w:p>
            <w:pPr>
              <w:pStyle w:val="Normal"/>
              <w:rPr/>
            </w:pPr>
            <w:r>
              <w:rPr/>
              <w:t>HE 2200</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 xml:space="preserve">HE 0700 – </w:t>
            </w:r>
          </w:p>
          <w:p>
            <w:pPr>
              <w:pStyle w:val="Normal"/>
              <w:rPr/>
            </w:pPr>
            <w:r>
              <w:rPr/>
              <w:t>HE 2200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 xml:space="preserve">HE 0700 – </w:t>
            </w:r>
          </w:p>
          <w:p>
            <w:pPr>
              <w:pStyle w:val="Normal"/>
              <w:rPr/>
            </w:pPr>
            <w:r>
              <w:rPr/>
              <w:t>HE 2200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 xml:space="preserve">HE 0700 – </w:t>
            </w:r>
          </w:p>
          <w:p>
            <w:pPr>
              <w:pStyle w:val="Normal"/>
              <w:rPr/>
            </w:pPr>
            <w:r>
              <w:rPr/>
              <w:t>HE 2200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 xml:space="preserve">HE 0700 – </w:t>
            </w:r>
          </w:p>
          <w:p>
            <w:pPr>
              <w:pStyle w:val="Normal"/>
              <w:rPr/>
            </w:pPr>
            <w:r>
              <w:rPr/>
              <w:t>HE 2200</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Guaranteed Heat Rate** (HHV, Btu/kWh)</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11,406</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12,064</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12,500</w:t>
            </w:r>
          </w:p>
        </w:tc>
        <w:tc>
          <w:tcPr>
            <w:tcW w:w="1833" w:type="dxa"/>
            <w:tcBorders>
              <w:top w:val="single" w:sz="4" w:space="0" w:color="000000"/>
              <w:start w:val="single" w:sz="4" w:space="0" w:color="000000"/>
              <w:bottom w:val="single" w:sz="4" w:space="0" w:color="000000"/>
              <w:end w:val="single" w:sz="4" w:space="0" w:color="000000"/>
            </w:tcBorders>
          </w:tcPr>
          <w:p>
            <w:pPr>
              <w:pStyle w:val="Normal"/>
              <w:ind w:hanging="21" w:start="21" w:end="0"/>
              <w:rPr/>
            </w:pPr>
            <w:r>
              <w:rPr/>
              <w:t>11,973</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11,734</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10,592</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12,396</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Fixed Price Period</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Three years beginning 1/1/2001</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Three years beginning 1/1/2001</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Three years beginning 1/1/2001</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Three years beginning 1/1/2001</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Three years beginning 1/1/2001</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Three years beginning 1/1/2001</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Five years beginning 6/1/2001</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Demand Charge ($/Kw-mo)</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$4.00</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$4.00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$4.00</w:t>
            </w:r>
          </w:p>
        </w:tc>
      </w:tr>
    </w:tbl>
    <w:p>
      <w:pPr>
        <w:pStyle w:val="Normal"/>
        <w:rPr/>
      </w:pPr>
      <w:r>
        <w:rPr/>
      </w:r>
    </w:p>
    <w:p>
      <w:pPr>
        <w:pStyle w:val="BodyText2"/>
        <w:rPr>
          <w:b w:val="false"/>
          <w:color w:val="000000"/>
          <w:sz w:val="20"/>
          <w:u w:val="none"/>
          <w:lang w:eastAsia="en-US"/>
        </w:rPr>
      </w:pPr>
      <w:r>
        <w:rPr>
          <w:b w:val="false"/>
          <w:sz w:val="20"/>
          <w:u w:val="none"/>
        </w:rPr>
        <w:t>**  Output and Heat Rate figures assuming new and clean 90º F, 14.524 p.s.i.a., 60% relative humidity.</w:t>
      </w:r>
      <w:r>
        <w:br w:type="page"/>
      </w:r>
    </w:p>
    <w:p>
      <w:pPr>
        <w:pStyle w:val="Normal"/>
        <w:ind w:hanging="540" w:start="540" w:end="0"/>
        <w:jc w:val="end"/>
        <w:rPr>
          <w:b/>
          <w:color w:val="000000"/>
          <w:sz w:val="28"/>
          <w:lang w:eastAsia="en-US"/>
        </w:rPr>
      </w:pPr>
      <w:r>
        <w:rPr/>
        <w:t>DRAFT: FOR REVIEW AND DISCUSSION PURPOSES ONLY</w:t>
      </w:r>
    </w:p>
    <w:p>
      <w:pPr>
        <w:pStyle w:val="Normal"/>
        <w:ind w:hanging="540" w:start="540" w:end="0"/>
        <w:rPr>
          <w:b/>
          <w:color w:val="000000"/>
          <w:sz w:val="28"/>
          <w:lang w:eastAsia="en-US"/>
        </w:rPr>
      </w:pPr>
      <w:r>
        <w:rPr>
          <w:b/>
          <w:color w:val="000000"/>
          <w:sz w:val="28"/>
          <w:lang w:eastAsia="en-US"/>
        </w:rPr>
      </w:r>
    </w:p>
    <w:tbl>
      <w:tblPr>
        <w:tblW w:w="14670" w:type="dxa"/>
        <w:jc w:val="start"/>
        <w:tblInd w:w="-702" w:type="dxa"/>
        <w:tblLayout w:type="fixed"/>
        <w:tblCellMar>
          <w:top w:w="0" w:type="dxa"/>
          <w:start w:w="108" w:type="dxa"/>
          <w:bottom w:w="0" w:type="dxa"/>
          <w:end w:w="108" w:type="dxa"/>
        </w:tblCellMar>
      </w:tblPr>
      <w:tblGrid>
        <w:gridCol w:w="1833"/>
        <w:gridCol w:w="1834"/>
        <w:gridCol w:w="1834"/>
        <w:gridCol w:w="1834"/>
        <w:gridCol w:w="1833"/>
        <w:gridCol w:w="1834"/>
        <w:gridCol w:w="1834"/>
        <w:gridCol w:w="1834"/>
      </w:tblGrid>
      <w:tr>
        <w:trPr>
          <w:tblHeader w:val="true"/>
        </w:trPr>
        <w:tc>
          <w:tcPr>
            <w:tcW w:w="1833"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pPr>
            <w:r>
              <w:rPr/>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Brownsville</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Caledonia</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New Albany</w:t>
            </w:r>
          </w:p>
        </w:tc>
        <w:tc>
          <w:tcPr>
            <w:tcW w:w="1833"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Wilton Center</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Wheatland</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Gleason</w:t>
            </w:r>
          </w:p>
        </w:tc>
        <w:tc>
          <w:tcPr>
            <w:tcW w:w="1834"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Moore</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Energy Charge ($/MWh)</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$1.50</w:t>
            </w:r>
          </w:p>
        </w:tc>
        <w:tc>
          <w:tcPr>
            <w:tcW w:w="183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Times New Roman" w:hAnsi="Times New Roman" w:cs="Times New Roman"/>
              </w:rPr>
            </w:pPr>
            <w:r>
              <w:rPr>
                <w:rFonts w:cs="Times New Roman" w:ascii="Times New Roman" w:hAnsi="Times New Roman"/>
              </w:rPr>
              <w:t>$1.00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$1.00</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$2.00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$3.00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$1.50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Start Charge ($/Start/Turbine)</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$1,000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$1,500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Maximum Annual MWh’s</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624,992</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544,140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410,270</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2,002,000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461,313</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532,992</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Minimum Availability:</w:t>
            </w:r>
          </w:p>
          <w:p>
            <w:pPr>
              <w:pStyle w:val="Normal"/>
              <w:rPr/>
            </w:pPr>
            <w:r>
              <w:rPr/>
            </w:r>
          </w:p>
          <w:p>
            <w:pPr>
              <w:pStyle w:val="Normal"/>
              <w:numPr>
                <w:ilvl w:val="0"/>
                <w:numId w:val="22"/>
              </w:numPr>
              <w:rPr/>
            </w:pPr>
            <w:r>
              <w:rPr/>
              <w:t>Summer Months</w:t>
            </w:r>
          </w:p>
          <w:p>
            <w:pPr>
              <w:pStyle w:val="Normal"/>
              <w:rPr/>
            </w:pPr>
            <w:r>
              <w:rPr/>
            </w:r>
          </w:p>
          <w:p>
            <w:pPr>
              <w:pStyle w:val="Normal"/>
              <w:numPr>
                <w:ilvl w:val="0"/>
                <w:numId w:val="22"/>
              </w:numPr>
              <w:rPr/>
            </w:pPr>
            <w:r>
              <w:rPr/>
              <w:t>Shoulder Months</w:t>
            </w:r>
          </w:p>
          <w:p>
            <w:pPr>
              <w:pStyle w:val="Normal"/>
              <w:rPr/>
            </w:pPr>
            <w:r>
              <w:rPr/>
            </w:r>
          </w:p>
          <w:p>
            <w:pPr>
              <w:pStyle w:val="Normal"/>
              <w:numPr>
                <w:ilvl w:val="0"/>
                <w:numId w:val="22"/>
              </w:numPr>
              <w:rPr/>
            </w:pPr>
            <w:r>
              <w:rPr/>
              <w:t>Winter Months</w:t>
            </w:r>
          </w:p>
          <w:p>
            <w:pPr>
              <w:pStyle w:val="Normal"/>
              <w:rPr/>
            </w:pPr>
            <w:r>
              <w:rPr/>
            </w:r>
          </w:p>
        </w:tc>
        <w:tc>
          <w:tcPr>
            <w:tcW w:w="1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98%</w:t>
            </w:r>
          </w:p>
          <w:p>
            <w:pPr>
              <w:pStyle w:val="Normal"/>
              <w:rPr/>
            </w:pPr>
            <w:r>
              <w:rPr/>
            </w:r>
          </w:p>
          <w:p>
            <w:pPr>
              <w:pStyle w:val="Normal"/>
              <w:rPr/>
            </w:pPr>
            <w:r>
              <w:rPr/>
            </w:r>
          </w:p>
          <w:p>
            <w:pPr>
              <w:pStyle w:val="Normal"/>
              <w:rPr/>
            </w:pPr>
            <w:r>
              <w:rPr/>
              <w:t>95%</w:t>
            </w:r>
            <w:r>
              <w:rPr>
                <w:rStyle w:val="FootnoteCharacters"/>
                <w:rStyle w:val="FootnoteReference"/>
              </w:rPr>
              <w:footnoteReference w:id="3"/>
            </w:r>
          </w:p>
          <w:p>
            <w:pPr>
              <w:pStyle w:val="Normal"/>
              <w:rPr/>
            </w:pPr>
            <w:r>
              <w:rPr/>
            </w:r>
          </w:p>
          <w:p>
            <w:pPr>
              <w:pStyle w:val="Normal"/>
              <w:rPr/>
            </w:pPr>
            <w:r>
              <w:rPr/>
            </w:r>
          </w:p>
          <w:p>
            <w:pPr>
              <w:pStyle w:val="Normal"/>
              <w:rPr/>
            </w:pPr>
            <w:r>
              <w:rPr/>
              <w:t>95%</w:t>
            </w:r>
          </w:p>
        </w:tc>
        <w:tc>
          <w:tcPr>
            <w:tcW w:w="1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98%</w:t>
            </w:r>
          </w:p>
          <w:p>
            <w:pPr>
              <w:pStyle w:val="Normal"/>
              <w:rPr/>
            </w:pPr>
            <w:r>
              <w:rPr/>
            </w:r>
          </w:p>
          <w:p>
            <w:pPr>
              <w:pStyle w:val="Normal"/>
              <w:rPr/>
            </w:pPr>
            <w:r>
              <w:rPr/>
            </w:r>
          </w:p>
          <w:p>
            <w:pPr>
              <w:pStyle w:val="Normal"/>
              <w:rPr/>
            </w:pPr>
            <w:r>
              <w:rPr/>
              <w:t>95%</w:t>
            </w:r>
            <w:r>
              <w:rPr>
                <w:vertAlign w:val="superscript"/>
              </w:rPr>
              <w:t>2</w:t>
            </w:r>
          </w:p>
          <w:p>
            <w:pPr>
              <w:pStyle w:val="Normal"/>
              <w:rPr/>
            </w:pPr>
            <w:r>
              <w:rPr/>
            </w:r>
          </w:p>
          <w:p>
            <w:pPr>
              <w:pStyle w:val="Normal"/>
              <w:rPr/>
            </w:pPr>
            <w:r>
              <w:rPr/>
            </w:r>
          </w:p>
          <w:p>
            <w:pPr>
              <w:pStyle w:val="Header"/>
              <w:tabs>
                <w:tab w:val="clear" w:pos="4320"/>
                <w:tab w:val="clear" w:pos="8640"/>
              </w:tabs>
              <w:rPr>
                <w:rFonts w:ascii="Times New Roman" w:hAnsi="Times New Roman" w:cs="Times New Roman"/>
              </w:rPr>
            </w:pPr>
            <w:r>
              <w:rPr>
                <w:rFonts w:cs="Times New Roman" w:ascii="Times New Roman" w:hAnsi="Times New Roman"/>
              </w:rPr>
              <w:t>95%</w:t>
            </w:r>
          </w:p>
        </w:tc>
        <w:tc>
          <w:tcPr>
            <w:tcW w:w="183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rPr>
            </w:r>
          </w:p>
          <w:p>
            <w:pPr>
              <w:pStyle w:val="Normal"/>
              <w:rPr/>
            </w:pPr>
            <w:r>
              <w:rPr/>
            </w:r>
          </w:p>
          <w:p>
            <w:pPr>
              <w:pStyle w:val="Normal"/>
              <w:rPr/>
            </w:pPr>
            <w:r>
              <w:rPr/>
            </w:r>
          </w:p>
          <w:p>
            <w:pPr>
              <w:pStyle w:val="Normal"/>
              <w:rPr/>
            </w:pPr>
            <w:r>
              <w:rPr/>
              <w:t>98%</w:t>
            </w:r>
          </w:p>
          <w:p>
            <w:pPr>
              <w:pStyle w:val="Normal"/>
              <w:rPr/>
            </w:pPr>
            <w:r>
              <w:rPr/>
            </w:r>
          </w:p>
          <w:p>
            <w:pPr>
              <w:pStyle w:val="Normal"/>
              <w:rPr/>
            </w:pPr>
            <w:r>
              <w:rPr/>
            </w:r>
          </w:p>
          <w:p>
            <w:pPr>
              <w:pStyle w:val="Normal"/>
              <w:rPr/>
            </w:pPr>
            <w:r>
              <w:rPr/>
              <w:t>95%</w:t>
            </w:r>
            <w:r>
              <w:rPr>
                <w:rStyle w:val="FootnoteCharacters"/>
                <w:rStyle w:val="FootnoteReference"/>
              </w:rPr>
              <w:footnoteReference w:id="4"/>
            </w:r>
          </w:p>
          <w:p>
            <w:pPr>
              <w:pStyle w:val="Normal"/>
              <w:rPr/>
            </w:pPr>
            <w:r>
              <w:rPr/>
            </w:r>
          </w:p>
          <w:p>
            <w:pPr>
              <w:pStyle w:val="Normal"/>
              <w:rPr/>
            </w:pPr>
            <w:r>
              <w:rPr/>
            </w:r>
          </w:p>
          <w:p>
            <w:pPr>
              <w:pStyle w:val="Normal"/>
              <w:rPr/>
            </w:pPr>
            <w:r>
              <w:rPr/>
              <w:t>95%</w:t>
            </w:r>
          </w:p>
        </w:tc>
        <w:tc>
          <w:tcPr>
            <w:tcW w:w="1833"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98%</w:t>
            </w:r>
          </w:p>
          <w:p>
            <w:pPr>
              <w:pStyle w:val="Normal"/>
              <w:rPr/>
            </w:pPr>
            <w:r>
              <w:rPr/>
            </w:r>
          </w:p>
          <w:p>
            <w:pPr>
              <w:pStyle w:val="Normal"/>
              <w:rPr/>
            </w:pPr>
            <w:r>
              <w:rPr/>
            </w:r>
          </w:p>
          <w:p>
            <w:pPr>
              <w:pStyle w:val="Normal"/>
              <w:rPr/>
            </w:pPr>
            <w:r>
              <w:rPr/>
              <w:t>95%</w:t>
            </w:r>
            <w:r>
              <w:rPr>
                <w:vertAlign w:val="superscript"/>
              </w:rPr>
              <w:t>3</w:t>
            </w:r>
          </w:p>
          <w:p>
            <w:pPr>
              <w:pStyle w:val="Normal"/>
              <w:rPr/>
            </w:pPr>
            <w:r>
              <w:rPr/>
            </w:r>
          </w:p>
          <w:p>
            <w:pPr>
              <w:pStyle w:val="Normal"/>
              <w:rPr/>
            </w:pPr>
            <w:r>
              <w:rPr/>
            </w:r>
          </w:p>
          <w:p>
            <w:pPr>
              <w:pStyle w:val="Normal"/>
              <w:rPr/>
            </w:pPr>
            <w:r>
              <w:rPr/>
              <w:t>95%</w:t>
            </w:r>
          </w:p>
        </w:tc>
        <w:tc>
          <w:tcPr>
            <w:tcW w:w="183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rPr/>
            </w:pPr>
            <w:r>
              <w:rPr/>
            </w:r>
          </w:p>
          <w:p>
            <w:pPr>
              <w:pStyle w:val="Normal"/>
              <w:rPr/>
            </w:pPr>
            <w:r>
              <w:rPr/>
              <w:t>98%</w:t>
            </w:r>
          </w:p>
          <w:p>
            <w:pPr>
              <w:pStyle w:val="Normal"/>
              <w:rPr/>
            </w:pPr>
            <w:r>
              <w:rPr/>
            </w:r>
          </w:p>
          <w:p>
            <w:pPr>
              <w:pStyle w:val="Normal"/>
              <w:rPr/>
            </w:pPr>
            <w:r>
              <w:rPr/>
            </w:r>
          </w:p>
          <w:p>
            <w:pPr>
              <w:pStyle w:val="Normal"/>
              <w:rPr/>
            </w:pPr>
            <w:r>
              <w:rPr/>
              <w:t>95%</w:t>
            </w:r>
            <w:r>
              <w:rPr>
                <w:vertAlign w:val="superscript"/>
              </w:rPr>
              <w:t>2</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pPr>
            <w:r>
              <w:rPr/>
              <w:t>95%</w:t>
            </w:r>
          </w:p>
        </w:tc>
        <w:tc>
          <w:tcPr>
            <w:tcW w:w="1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98%</w:t>
            </w:r>
          </w:p>
          <w:p>
            <w:pPr>
              <w:pStyle w:val="Normal"/>
              <w:rPr/>
            </w:pPr>
            <w:r>
              <w:rPr/>
            </w:r>
          </w:p>
          <w:p>
            <w:pPr>
              <w:pStyle w:val="Normal"/>
              <w:rPr/>
            </w:pPr>
            <w:r>
              <w:rPr/>
            </w:r>
          </w:p>
          <w:p>
            <w:pPr>
              <w:pStyle w:val="Normal"/>
              <w:rPr/>
            </w:pPr>
            <w:r>
              <w:rPr/>
              <w:t>95%</w:t>
            </w:r>
            <w:r>
              <w:rPr>
                <w:vertAlign w:val="superscript"/>
              </w:rPr>
              <w:t>3</w:t>
            </w:r>
          </w:p>
          <w:p>
            <w:pPr>
              <w:pStyle w:val="Normal"/>
              <w:rPr/>
            </w:pPr>
            <w:r>
              <w:rPr/>
            </w:r>
          </w:p>
          <w:p>
            <w:pPr>
              <w:pStyle w:val="Normal"/>
              <w:rPr/>
            </w:pPr>
            <w:r>
              <w:rPr/>
            </w:r>
          </w:p>
          <w:p>
            <w:pPr>
              <w:pStyle w:val="Normal"/>
              <w:rPr/>
            </w:pPr>
            <w:r>
              <w:rPr/>
              <w:t>95%</w:t>
            </w:r>
          </w:p>
        </w:tc>
        <w:tc>
          <w:tcPr>
            <w:tcW w:w="183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p>
            <w:pPr>
              <w:pStyle w:val="Normal"/>
              <w:rPr/>
            </w:pPr>
            <w:r>
              <w:rPr/>
              <w:t>98%</w:t>
            </w:r>
          </w:p>
          <w:p>
            <w:pPr>
              <w:pStyle w:val="Normal"/>
              <w:rPr/>
            </w:pPr>
            <w:r>
              <w:rPr/>
            </w:r>
          </w:p>
          <w:p>
            <w:pPr>
              <w:pStyle w:val="Normal"/>
              <w:rPr/>
            </w:pPr>
            <w:r>
              <w:rPr/>
            </w:r>
          </w:p>
          <w:p>
            <w:pPr>
              <w:pStyle w:val="Normal"/>
              <w:rPr/>
            </w:pPr>
            <w:r>
              <w:rPr/>
              <w:t>95%</w:t>
            </w:r>
            <w:r>
              <w:rPr>
                <w:vertAlign w:val="superscript"/>
              </w:rPr>
              <w:t>3</w:t>
            </w:r>
          </w:p>
          <w:p>
            <w:pPr>
              <w:pStyle w:val="Normal"/>
              <w:rPr/>
            </w:pPr>
            <w:r>
              <w:rPr/>
            </w:r>
          </w:p>
          <w:p>
            <w:pPr>
              <w:pStyle w:val="Normal"/>
              <w:rPr/>
            </w:pPr>
            <w:r>
              <w:rPr/>
            </w:r>
          </w:p>
          <w:p>
            <w:pPr>
              <w:pStyle w:val="Normal"/>
              <w:rPr/>
            </w:pPr>
            <w:r>
              <w:rPr/>
              <w:t>98%</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Minimum Block Size (MW)</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50</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50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50</w:t>
            </w:r>
          </w:p>
        </w:tc>
      </w:tr>
      <w:tr>
        <w:trPr/>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Min Dispatch Notice (minutes)</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35</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25</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20</w:t>
            </w:r>
          </w:p>
        </w:tc>
        <w:tc>
          <w:tcPr>
            <w:tcW w:w="1833" w:type="dxa"/>
            <w:tcBorders>
              <w:top w:val="single" w:sz="4" w:space="0" w:color="000000"/>
              <w:start w:val="single" w:sz="4" w:space="0" w:color="000000"/>
              <w:bottom w:val="single" w:sz="4" w:space="0" w:color="000000"/>
              <w:end w:val="single" w:sz="4" w:space="0" w:color="000000"/>
            </w:tcBorders>
          </w:tcPr>
          <w:p>
            <w:pPr>
              <w:pStyle w:val="Normal"/>
              <w:rPr/>
            </w:pPr>
            <w:r>
              <w:rPr/>
              <w:t>30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30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30</w:t>
            </w:r>
          </w:p>
        </w:tc>
        <w:tc>
          <w:tcPr>
            <w:tcW w:w="1834" w:type="dxa"/>
            <w:tcBorders>
              <w:top w:val="single" w:sz="4" w:space="0" w:color="000000"/>
              <w:start w:val="single" w:sz="4" w:space="0" w:color="000000"/>
              <w:bottom w:val="single" w:sz="4" w:space="0" w:color="000000"/>
              <w:end w:val="single" w:sz="4" w:space="0" w:color="000000"/>
            </w:tcBorders>
          </w:tcPr>
          <w:p>
            <w:pPr>
              <w:pStyle w:val="Normal"/>
              <w:rPr/>
            </w:pPr>
            <w:r>
              <w:rPr/>
              <w:t>TBD</w:t>
            </w:r>
          </w:p>
        </w:tc>
      </w:tr>
    </w:tbl>
    <w:p>
      <w:pPr>
        <w:pStyle w:val="Normal"/>
        <w:rPr/>
      </w:pPr>
      <w:r>
        <w:rPr/>
      </w:r>
    </w:p>
    <w:p>
      <w:pPr>
        <w:pStyle w:val="Normal"/>
        <w:rPr/>
      </w:pPr>
      <w:r>
        <w:rPr/>
      </w:r>
    </w:p>
    <w:p>
      <w:pPr>
        <w:sectPr>
          <w:headerReference w:type="default" r:id="rId6"/>
          <w:headerReference w:type="first" r:id="rId7"/>
          <w:footerReference w:type="default" r:id="rId8"/>
          <w:footerReference w:type="first" r:id="rId9"/>
          <w:footnotePr>
            <w:numFmt w:val="decimal"/>
          </w:footnotePr>
          <w:type w:val="nextPage"/>
          <w:pgSz w:orient="landscape" w:w="15840" w:h="12240"/>
          <w:pgMar w:left="1440" w:right="1440" w:gutter="0" w:header="720" w:top="2059" w:footer="432" w:bottom="2045"/>
          <w:pgNumType w:fmt="decimal"/>
          <w:formProt w:val="false"/>
          <w:titlePg/>
          <w:textDirection w:val="lrTb"/>
          <w:docGrid w:type="default" w:linePitch="360" w:charSpace="0"/>
        </w:sectPr>
        <w:pStyle w:val="Normal"/>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r>
    </w:p>
    <w:p>
      <w:pPr>
        <w:pStyle w:val="Normal"/>
        <w:ind w:firstLine="540" w:end="0"/>
        <w:rPr>
          <w:b/>
          <w:color w:val="000000"/>
          <w:sz w:val="40"/>
          <w:lang w:eastAsia="en-US"/>
        </w:rPr>
      </w:pPr>
      <w:r>
        <w:rPr>
          <w:b/>
          <w:color w:val="000000"/>
          <w:sz w:val="40"/>
          <w:lang w:eastAsia="en-US"/>
        </w:rPr>
        <w:t>3.</w:t>
        <w:tab/>
        <w:t>Financial Information</w:t>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Normal"/>
        <w:ind w:hanging="540" w:start="540" w:end="0"/>
        <w:rPr/>
      </w:pPr>
      <w:r>
        <w:rPr>
          <w:b/>
          <w:color w:val="000000"/>
          <w:sz w:val="36"/>
          <w:lang w:eastAsia="en-US"/>
        </w:rPr>
        <w:t>3-a.</w:t>
        <w:tab/>
      </w:r>
      <w:r>
        <w:rPr>
          <w:b/>
          <w:sz w:val="36"/>
          <w:lang w:eastAsia="en-US"/>
        </w:rPr>
        <w:t>Description of Financial Model</w:t>
      </w:r>
    </w:p>
    <w:p>
      <w:pPr>
        <w:pStyle w:val="A0"/>
        <w:rPr>
          <w:rFonts w:ascii="Times New Roman" w:hAnsi="Times New Roman" w:cs="Times New Roman"/>
        </w:rPr>
      </w:pPr>
      <w:r>
        <w:rPr>
          <w:rFonts w:cs="Times New Roman" w:ascii="Times New Roman" w:hAnsi="Times New Roman"/>
        </w:rPr>
        <w:t>This section provides a description of the principal assumptions and calculations used in the financial model.  The table below lists a number of the key inputs for the financial model.</w:t>
      </w:r>
    </w:p>
    <w:p>
      <w:pPr>
        <w:pStyle w:val="A0"/>
        <w:rPr>
          <w:rFonts w:ascii="Times New Roman" w:hAnsi="Times New Roman" w:cs="Times New Roman"/>
        </w:rPr>
      </w:pPr>
      <w:r>
        <w:rPr>
          <w:rFonts w:cs="Times New Roman" w:ascii="Times New Roman" w:hAnsi="Times New Roman"/>
        </w:rPr>
      </w:r>
    </w:p>
    <w:p>
      <w:pPr>
        <w:pStyle w:val="Heading8"/>
        <w:rPr/>
      </w:pPr>
      <w:r>
        <w:rPr/>
        <w:t>Key Inputs</w:t>
      </w:r>
    </w:p>
    <w:p>
      <w:pPr>
        <w:pStyle w:val="Normal"/>
        <w:rPr/>
      </w:pPr>
      <w:r>
        <w:rPr/>
      </w:r>
    </w:p>
    <w:tbl>
      <w:tblPr>
        <w:tblW w:w="9588" w:type="dxa"/>
        <w:jc w:val="start"/>
        <w:tblInd w:w="270" w:type="dxa"/>
        <w:tblLayout w:type="fixed"/>
        <w:tblCellMar>
          <w:top w:w="0" w:type="dxa"/>
          <w:start w:w="0" w:type="dxa"/>
          <w:bottom w:w="0" w:type="dxa"/>
          <w:end w:w="0" w:type="dxa"/>
        </w:tblCellMar>
      </w:tblPr>
      <w:tblGrid>
        <w:gridCol w:w="2076"/>
        <w:gridCol w:w="1254"/>
        <w:gridCol w:w="1152"/>
        <w:gridCol w:w="1152"/>
        <w:gridCol w:w="498"/>
        <w:gridCol w:w="1152"/>
        <w:gridCol w:w="1152"/>
        <w:gridCol w:w="1152"/>
      </w:tblGrid>
      <w:tr>
        <w:trPr>
          <w:trHeight w:val="435" w:hRule="atLeast"/>
        </w:trPr>
        <w:tc>
          <w:tcPr>
            <w:tcW w:w="2076" w:type="dxa"/>
            <w:tcBorders>
              <w:top w:val="single" w:sz="18" w:space="0" w:color="000000"/>
            </w:tcBorders>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3558" w:type="dxa"/>
            <w:gridSpan w:val="3"/>
            <w:tcBorders>
              <w:top w:val="single" w:sz="18" w:space="0" w:color="000000"/>
              <w:bottom w:val="single" w:sz="6" w:space="0" w:color="000000"/>
            </w:tcBorders>
          </w:tcPr>
          <w:p>
            <w:pPr>
              <w:pStyle w:val="TableHeadings"/>
              <w:spacing w:before="36" w:after="36"/>
              <w:rPr>
                <w:rFonts w:ascii="Times New Roman" w:hAnsi="Times New Roman" w:cs="Times New Roman"/>
              </w:rPr>
            </w:pPr>
            <w:r>
              <w:rPr>
                <w:rFonts w:cs="Times New Roman" w:ascii="Times New Roman" w:hAnsi="Times New Roman"/>
              </w:rPr>
              <w:t>1999 Plants</w:t>
            </w:r>
          </w:p>
        </w:tc>
        <w:tc>
          <w:tcPr>
            <w:tcW w:w="498" w:type="dxa"/>
            <w:tcBorders>
              <w:top w:val="single" w:sz="18" w:space="0" w:color="000000"/>
            </w:tcBorders>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3456" w:type="dxa"/>
            <w:gridSpan w:val="3"/>
            <w:tcBorders>
              <w:top w:val="single" w:sz="18" w:space="0" w:color="000000"/>
              <w:bottom w:val="single" w:sz="6" w:space="0" w:color="000000"/>
            </w:tcBorders>
          </w:tcPr>
          <w:p>
            <w:pPr>
              <w:pStyle w:val="TableHeadings"/>
              <w:spacing w:before="36" w:after="36"/>
              <w:rPr>
                <w:rFonts w:ascii="Times New Roman" w:hAnsi="Times New Roman" w:cs="Times New Roman"/>
              </w:rPr>
            </w:pPr>
            <w:r>
              <w:rPr>
                <w:rFonts w:cs="Times New Roman" w:ascii="Times New Roman" w:hAnsi="Times New Roman"/>
              </w:rPr>
              <w:t>2000 Plants</w:t>
            </w:r>
          </w:p>
        </w:tc>
      </w:tr>
      <w:tr>
        <w:trPr>
          <w:trHeight w:val="435" w:hRule="atLeast"/>
        </w:trPr>
        <w:tc>
          <w:tcPr>
            <w:tcW w:w="2076" w:type="dxa"/>
            <w:tcBorders>
              <w:bottom w:val="single" w:sz="2" w:space="0" w:color="000000"/>
            </w:tcBorders>
            <w:vAlign w:val="bottom"/>
          </w:tcPr>
          <w:p>
            <w:pPr>
              <w:pStyle w:val="TableHeadings"/>
              <w:snapToGrid w:val="false"/>
              <w:spacing w:before="36" w:after="36"/>
              <w:rPr>
                <w:rFonts w:ascii="Times New Roman" w:hAnsi="Times New Roman" w:cs="Times New Roman"/>
                <w:caps/>
              </w:rPr>
            </w:pPr>
            <w:r>
              <w:rPr>
                <w:rFonts w:cs="Times New Roman" w:ascii="Times New Roman" w:hAnsi="Times New Roman"/>
                <w:caps/>
              </w:rPr>
            </w:r>
          </w:p>
        </w:tc>
        <w:tc>
          <w:tcPr>
            <w:tcW w:w="1254"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BROWNSVILLE</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caledonia</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new</w:t>
              <w:br/>
              <w:t>albany</w:t>
            </w:r>
          </w:p>
        </w:tc>
        <w:tc>
          <w:tcPr>
            <w:tcW w:w="498" w:type="dxa"/>
            <w:tcBorders>
              <w:bottom w:val="single" w:sz="2" w:space="0" w:color="000000"/>
            </w:tcBorders>
            <w:vAlign w:val="bottom"/>
          </w:tcPr>
          <w:p>
            <w:pPr>
              <w:pStyle w:val="TableHeadings"/>
              <w:snapToGrid w:val="false"/>
              <w:spacing w:before="36" w:after="36"/>
              <w:rPr>
                <w:rFonts w:ascii="Times New Roman" w:hAnsi="Times New Roman" w:cs="Times New Roman"/>
              </w:rPr>
            </w:pPr>
            <w:r>
              <w:rPr>
                <w:rFonts w:cs="Times New Roman" w:ascii="Times New Roman" w:hAnsi="Times New Roman"/>
              </w:rPr>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GleasoN</w:t>
            </w:r>
          </w:p>
        </w:tc>
        <w:tc>
          <w:tcPr>
            <w:tcW w:w="1152" w:type="dxa"/>
            <w:tcBorders>
              <w:bottom w:val="single" w:sz="2" w:space="0" w:color="000000"/>
            </w:tcBorders>
          </w:tcPr>
          <w:p>
            <w:pPr>
              <w:pStyle w:val="TableHeadings"/>
              <w:spacing w:before="36" w:after="36"/>
              <w:rPr>
                <w:rFonts w:ascii="Times New Roman" w:hAnsi="Times New Roman" w:cs="Times New Roman"/>
              </w:rPr>
            </w:pPr>
            <w:r>
              <w:rPr>
                <w:rFonts w:cs="Times New Roman" w:ascii="Times New Roman" w:hAnsi="Times New Roman"/>
              </w:rPr>
              <w:br/>
              <w:t>wheatland</w:t>
            </w:r>
          </w:p>
        </w:tc>
        <w:tc>
          <w:tcPr>
            <w:tcW w:w="1152" w:type="dxa"/>
            <w:tcBorders>
              <w:bottom w:val="single" w:sz="2" w:space="0" w:color="000000"/>
            </w:tcBorders>
            <w:vAlign w:val="bottom"/>
          </w:tcPr>
          <w:p>
            <w:pPr>
              <w:pStyle w:val="TableHeadings"/>
              <w:spacing w:before="36" w:after="36"/>
              <w:rPr>
                <w:rFonts w:ascii="Times New Roman" w:hAnsi="Times New Roman" w:cs="Times New Roman"/>
              </w:rPr>
            </w:pPr>
            <w:r>
              <w:rPr>
                <w:rFonts w:cs="Times New Roman" w:ascii="Times New Roman" w:hAnsi="Times New Roman"/>
              </w:rPr>
              <w:t>wilton center</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PPA Start Date</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Jan. 2001</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Contractual PPA Capacity (MW)</w:t>
            </w:r>
            <w:r>
              <w:rPr>
                <w:rFonts w:cs="Times New Roman" w:ascii="Times New Roman" w:hAnsi="Times New Roman"/>
                <w:sz w:val="16"/>
                <w:vertAlign w:val="superscript"/>
              </w:rPr>
              <w:t xml:space="preserve"> (1)</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458</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466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371</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510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470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608</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Annual Generation</w:t>
              <w:br/>
              <w:t>(000 MWh/year)</w:t>
            </w:r>
            <w:r>
              <w:rPr>
                <w:rFonts w:cs="Times New Roman" w:ascii="Times New Roman" w:hAnsi="Times New Roman"/>
                <w:sz w:val="16"/>
                <w:vertAlign w:val="superscript"/>
              </w:rPr>
              <w:t>(1)</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625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544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410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533</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461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2,002</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Fixed Demand Charge Rate</w:t>
              <w:br/>
              <w:t>($/kW-month)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 xml:space="preserve">Energy Charge </w:t>
            </w:r>
          </w:p>
          <w:p>
            <w:pPr>
              <w:pStyle w:val="TableText"/>
              <w:spacing w:before="36" w:after="36"/>
              <w:rPr>
                <w:rFonts w:ascii="Times New Roman" w:hAnsi="Times New Roman" w:cs="Times New Roman"/>
                <w:sz w:val="16"/>
              </w:rPr>
            </w:pPr>
            <w:r>
              <w:rPr>
                <w:rFonts w:cs="Times New Roman" w:ascii="Times New Roman" w:hAnsi="Times New Roman"/>
                <w:sz w:val="16"/>
              </w:rPr>
              <w:t>(2000 $/MWh)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Start Charge (2000 $/Start/turbine)</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1,000</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Assumed Starts Per Year</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75</w:t>
            </w:r>
          </w:p>
        </w:tc>
      </w:tr>
      <w:tr>
        <w:trPr>
          <w:trHeight w:val="280"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Number of Turbines</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8</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Variable O&amp;M Rate</w:t>
              <w:br/>
              <w:t>(2000 $/MWh)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3.00</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2.00</w:t>
            </w:r>
          </w:p>
        </w:tc>
      </w:tr>
      <w:tr>
        <w:trPr>
          <w:trHeight w:val="435" w:hRule="atLeast"/>
        </w:trPr>
        <w:tc>
          <w:tcPr>
            <w:tcW w:w="2076" w:type="dxa"/>
            <w:tcBorders/>
          </w:tcPr>
          <w:p>
            <w:pPr>
              <w:pStyle w:val="TableText"/>
              <w:spacing w:before="36" w:after="36"/>
              <w:rPr>
                <w:rFonts w:ascii="Times New Roman" w:hAnsi="Times New Roman" w:cs="Times New Roman"/>
                <w:sz w:val="16"/>
              </w:rPr>
            </w:pPr>
            <w:r>
              <w:rPr>
                <w:rFonts w:cs="Times New Roman" w:ascii="Times New Roman" w:hAnsi="Times New Roman"/>
                <w:sz w:val="16"/>
              </w:rPr>
              <w:t>Fixed O&amp;M</w:t>
              <w:br/>
              <w:t>(2000 $000)</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1,564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1,721</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1,878</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1,242</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1,516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1,449</w:t>
            </w:r>
          </w:p>
        </w:tc>
      </w:tr>
      <w:tr>
        <w:trPr>
          <w:trHeight w:val="435" w:hRule="atLeast"/>
        </w:trPr>
        <w:tc>
          <w:tcPr>
            <w:tcW w:w="2076" w:type="dxa"/>
            <w:tcBorders/>
          </w:tcPr>
          <w:p>
            <w:pPr>
              <w:pStyle w:val="TableText"/>
              <w:spacing w:before="36" w:after="36"/>
              <w:rPr/>
            </w:pPr>
            <w:r>
              <w:rPr>
                <w:rFonts w:cs="Times New Roman" w:ascii="Times New Roman" w:hAnsi="Times New Roman"/>
                <w:sz w:val="16"/>
              </w:rPr>
              <w:t>Plant Net Heat Rate @ 90</w:t>
            </w:r>
            <w:r>
              <w:rPr>
                <w:rFonts w:cs="Times New Roman" w:ascii="Times New Roman" w:hAnsi="Times New Roman"/>
                <w:sz w:val="16"/>
                <w:vertAlign w:val="superscript"/>
              </w:rPr>
              <w:t>0</w:t>
            </w:r>
            <w:r>
              <w:rPr>
                <w:rFonts w:cs="Times New Roman" w:ascii="Times New Roman" w:hAnsi="Times New Roman"/>
                <w:sz w:val="16"/>
              </w:rPr>
              <w:t xml:space="preserve"> (HHV, Btu/kWh)</w:t>
            </w:r>
          </w:p>
        </w:tc>
        <w:tc>
          <w:tcPr>
            <w:tcW w:w="1254"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11,406</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12,064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12,500</w:t>
            </w:r>
          </w:p>
        </w:tc>
        <w:tc>
          <w:tcPr>
            <w:tcW w:w="498" w:type="dxa"/>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10,592</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11,734</w:t>
            </w:r>
          </w:p>
        </w:tc>
        <w:tc>
          <w:tcPr>
            <w:tcW w:w="1152" w:type="dxa"/>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11,973</w:t>
            </w:r>
          </w:p>
        </w:tc>
      </w:tr>
      <w:tr>
        <w:trPr>
          <w:trHeight w:val="435" w:hRule="atLeast"/>
        </w:trPr>
        <w:tc>
          <w:tcPr>
            <w:tcW w:w="2076" w:type="dxa"/>
            <w:tcBorders>
              <w:bottom w:val="single" w:sz="4" w:space="0" w:color="000000"/>
            </w:tcBorders>
          </w:tcPr>
          <w:p>
            <w:pPr>
              <w:pStyle w:val="TableText"/>
              <w:spacing w:before="36" w:after="36"/>
              <w:ind w:firstLine="7" w:end="0"/>
              <w:rPr>
                <w:rFonts w:ascii="Times New Roman" w:hAnsi="Times New Roman" w:cs="Times New Roman"/>
                <w:sz w:val="16"/>
              </w:rPr>
            </w:pPr>
            <w:r>
              <w:rPr>
                <w:rFonts w:cs="Times New Roman" w:ascii="Times New Roman" w:hAnsi="Times New Roman"/>
                <w:sz w:val="16"/>
              </w:rPr>
              <w:t xml:space="preserve">Applicable State </w:t>
              <w:br/>
              <w:t>Income Tax Rate</w:t>
            </w:r>
          </w:p>
        </w:tc>
        <w:tc>
          <w:tcPr>
            <w:tcW w:w="1254"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5.00%</w:t>
            </w:r>
          </w:p>
        </w:tc>
        <w:tc>
          <w:tcPr>
            <w:tcW w:w="498" w:type="dxa"/>
            <w:tcBorders>
              <w:bottom w:val="single" w:sz="4" w:space="0" w:color="000000"/>
            </w:tcBorders>
          </w:tcPr>
          <w:p>
            <w:pPr>
              <w:pStyle w:val="TableText"/>
              <w:snapToGrid w:val="false"/>
              <w:spacing w:before="36" w:after="36"/>
              <w:jc w:val="center"/>
              <w:rPr>
                <w:rFonts w:ascii="Times New Roman" w:hAnsi="Times New Roman" w:cs="Times New Roman"/>
                <w:sz w:val="16"/>
              </w:rPr>
            </w:pPr>
            <w:r>
              <w:rPr>
                <w:rFonts w:cs="Times New Roman" w:ascii="Times New Roman" w:hAnsi="Times New Roman"/>
                <w:sz w:val="16"/>
              </w:rPr>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6.00%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4.50%</w:t>
            </w:r>
          </w:p>
        </w:tc>
        <w:tc>
          <w:tcPr>
            <w:tcW w:w="1152" w:type="dxa"/>
            <w:tcBorders>
              <w:bottom w:val="single" w:sz="4" w:space="0" w:color="000000"/>
            </w:tcBorders>
          </w:tcPr>
          <w:p>
            <w:pPr>
              <w:pStyle w:val="TableText"/>
              <w:spacing w:before="36" w:after="36"/>
              <w:jc w:val="center"/>
              <w:rPr>
                <w:rFonts w:ascii="Times New Roman" w:hAnsi="Times New Roman" w:cs="Times New Roman"/>
                <w:sz w:val="16"/>
              </w:rPr>
            </w:pPr>
            <w:r>
              <w:rPr>
                <w:rFonts w:cs="Times New Roman" w:ascii="Times New Roman" w:hAnsi="Times New Roman"/>
                <w:sz w:val="16"/>
              </w:rPr>
              <w:t>7.18%</w:t>
            </w:r>
          </w:p>
        </w:tc>
      </w:tr>
    </w:tbl>
    <w:p>
      <w:pPr>
        <w:pStyle w:val="Caption"/>
        <w:numPr>
          <w:ilvl w:val="0"/>
          <w:numId w:val="35"/>
        </w:numPr>
        <w:tabs>
          <w:tab w:val="clear" w:pos="720"/>
          <w:tab w:val="left" w:pos="630" w:leader="none"/>
        </w:tabs>
        <w:ind w:hanging="0" w:start="0"/>
        <w:rPr>
          <w:rFonts w:ascii="Times New Roman" w:hAnsi="Times New Roman" w:cs="Times New Roman"/>
        </w:rPr>
      </w:pPr>
      <w:r>
        <w:rPr>
          <w:rFonts w:cs="Times New Roman" w:ascii="Times New Roman" w:hAnsi="Times New Roman"/>
        </w:rPr>
        <w:t>Includes additional capacity of 20 MW at Caledonia and 15 MW at New Albany, with installation of evaporative coolers by June 2000.</w:t>
      </w:r>
    </w:p>
    <w:p>
      <w:pPr>
        <w:pStyle w:val="Caption"/>
        <w:numPr>
          <w:ilvl w:val="0"/>
          <w:numId w:val="0"/>
        </w:numPr>
        <w:tabs>
          <w:tab w:val="clear" w:pos="720"/>
          <w:tab w:val="left" w:pos="630" w:leader="none"/>
        </w:tabs>
        <w:ind w:hanging="0" w:start="270" w:end="0"/>
        <w:rPr>
          <w:rFonts w:ascii="Times New Roman" w:hAnsi="Times New Roman" w:cs="Times New Roman"/>
        </w:rPr>
      </w:pPr>
      <w:r>
        <w:rPr>
          <w:rFonts w:cs="Times New Roman" w:ascii="Times New Roman" w:hAnsi="Times New Roman"/>
        </w:rPr>
      </w:r>
    </w:p>
    <w:p>
      <w:pPr>
        <w:pStyle w:val="Sub0n"/>
        <w:numPr>
          <w:ilvl w:val="0"/>
          <w:numId w:val="5"/>
        </w:numPr>
        <w:rPr>
          <w:rFonts w:ascii="Times New Roman" w:hAnsi="Times New Roman" w:cs="Times New Roman"/>
        </w:rPr>
      </w:pPr>
      <w:r>
        <w:rPr>
          <w:rFonts w:cs="Times New Roman" w:ascii="Times New Roman" w:hAnsi="Times New Roman"/>
        </w:rPr>
        <w:t>Capital Costs</w:t>
      </w:r>
    </w:p>
    <w:p>
      <w:pPr>
        <w:pStyle w:val="A0"/>
        <w:rPr/>
      </w:pPr>
      <w:r>
        <w:rPr>
          <w:rFonts w:cs="Times New Roman" w:ascii="Times New Roman" w:hAnsi="Times New Roman"/>
          <w:b/>
        </w:rPr>
        <w:t>Debt and Equity.</w:t>
      </w:r>
      <w:r>
        <w:rPr>
          <w:rFonts w:cs="Times New Roman" w:ascii="Times New Roman" w:hAnsi="Times New Roman"/>
        </w:rPr>
        <w:t xml:space="preserve"> The financial model allocates the sources of capital from debt and equity to the 1999 Plants and the 2000 Plants at 42% and 58%, respectively. </w:t>
      </w:r>
    </w:p>
    <w:p>
      <w:pPr>
        <w:pStyle w:val="A0"/>
        <w:rPr/>
      </w:pPr>
      <w:r>
        <w:rPr>
          <w:rFonts w:cs="Times New Roman" w:ascii="Times New Roman" w:hAnsi="Times New Roman"/>
          <w:b/>
        </w:rPr>
        <w:t>Power Contract Liability.</w:t>
      </w:r>
      <w:r>
        <w:rPr>
          <w:rFonts w:cs="Times New Roman" w:ascii="Times New Roman" w:hAnsi="Times New Roman"/>
        </w:rPr>
        <w:t xml:space="preserve">  Pursuant to APB 16, the present value of difference between the $4.00 Fixed Price Demand Charge Rate and the ICF Curve for years 2001-2003 is capitalized on a plant-by-plant basis for GAAP purposes.</w:t>
      </w:r>
    </w:p>
    <w:p>
      <w:pPr>
        <w:pStyle w:val="Sub0n"/>
        <w:tabs>
          <w:tab w:val="clear" w:pos="720"/>
          <w:tab w:val="left" w:pos="1440" w:leader="none"/>
        </w:tabs>
        <w:ind w:hanging="720" w:start="1440" w:end="0"/>
        <w:rPr>
          <w:rFonts w:ascii="Times New Roman" w:hAnsi="Times New Roman" w:cs="Times New Roman"/>
          <w:b w:val="false"/>
        </w:rPr>
      </w:pPr>
      <w:r>
        <w:rPr>
          <w:rFonts w:cs="Times New Roman" w:ascii="Times New Roman" w:hAnsi="Times New Roman"/>
        </w:rPr>
        <w:t>B.</w:t>
        <w:tab/>
        <w:t>Revenue Assumptions</w:t>
      </w:r>
    </w:p>
    <w:p>
      <w:pPr>
        <w:pStyle w:val="A0"/>
        <w:rPr>
          <w:rFonts w:ascii="Times New Roman" w:hAnsi="Times New Roman" w:cs="Times New Roman"/>
        </w:rPr>
      </w:pPr>
      <w:r>
        <w:rPr>
          <w:rFonts w:cs="Times New Roman" w:ascii="Times New Roman" w:hAnsi="Times New Roman"/>
        </w:rPr>
        <w:t>In calculating revenue, the financial model incorporates the terms of the PPAs and merchant price projections from ICF Resources’ (“ICF”) market report.</w:t>
      </w:r>
    </w:p>
    <w:p>
      <w:pPr>
        <w:pStyle w:val="Sub0n"/>
        <w:ind w:start="1440" w:end="0"/>
        <w:rPr>
          <w:rFonts w:ascii="Times New Roman" w:hAnsi="Times New Roman" w:cs="Times New Roman"/>
        </w:rPr>
      </w:pPr>
      <w:r>
        <w:rPr>
          <w:rFonts w:cs="Times New Roman" w:ascii="Times New Roman" w:hAnsi="Times New Roman"/>
        </w:rPr>
        <w:t>1.</w:t>
        <w:tab/>
        <w:t>Fixed Price Period Operating Revenue Assumptions</w:t>
      </w:r>
    </w:p>
    <w:p>
      <w:pPr>
        <w:pStyle w:val="A0"/>
        <w:keepNext w:val="true"/>
        <w:rPr>
          <w:rFonts w:ascii="Times New Roman" w:hAnsi="Times New Roman" w:cs="Times New Roman"/>
          <w:b/>
        </w:rPr>
      </w:pPr>
      <w:r>
        <w:rPr>
          <w:rFonts w:cs="Times New Roman" w:ascii="Times New Roman" w:hAnsi="Times New Roman"/>
        </w:rPr>
        <w:t>The fixed price period extends from January 1, 2001 through December 31, 2003 for all 6 Plants.</w:t>
      </w:r>
    </w:p>
    <w:p>
      <w:pPr>
        <w:pStyle w:val="A0b"/>
        <w:numPr>
          <w:ilvl w:val="0"/>
          <w:numId w:val="14"/>
        </w:numPr>
        <w:ind w:hanging="360" w:start="1800" w:end="0"/>
        <w:rPr>
          <w:rFonts w:ascii="Times New Roman" w:hAnsi="Times New Roman" w:cs="Times New Roman"/>
        </w:rPr>
      </w:pPr>
      <w:r>
        <w:rPr>
          <w:rFonts w:cs="Times New Roman" w:ascii="Times New Roman" w:hAnsi="Times New Roman"/>
          <w:b/>
        </w:rPr>
        <w:t>Demand Payments.</w:t>
      </w:r>
      <w:r>
        <w:rPr>
          <w:rFonts w:cs="Times New Roman" w:ascii="Times New Roman" w:hAnsi="Times New Roman"/>
        </w:rPr>
        <w:t xml:space="preserve">  ENA pays the Demand Payments, based on a Fixed Demand Charge Rate of $4.00 per kilowatt-month, and calculated as follows:</w:t>
      </w:r>
    </w:p>
    <w:p>
      <w:pPr>
        <w:pStyle w:val="A0b"/>
        <w:numPr>
          <w:ilvl w:val="0"/>
          <w:numId w:val="0"/>
        </w:numPr>
        <w:ind w:firstLine="720" w:start="1440" w:end="0"/>
        <w:rPr/>
      </w:pPr>
      <w:r>
        <w:rPr>
          <w:rFonts w:cs="Times New Roman" w:ascii="Times New Roman" w:hAnsi="Times New Roman"/>
        </w:rPr>
        <w:t xml:space="preserve">Demand Payments = </w:t>
      </w:r>
      <w:r>
        <w:rPr>
          <w:rFonts w:cs="Times New Roman" w:ascii="Times New Roman" w:hAnsi="Times New Roman"/>
          <w:i/>
        </w:rPr>
        <w:t>$4.00</w:t>
      </w:r>
      <w:r>
        <w:rPr>
          <w:rFonts w:cs="Times New Roman" w:ascii="Times New Roman" w:hAnsi="Times New Roman"/>
        </w:rPr>
        <w:t xml:space="preserve"> x </w:t>
      </w:r>
      <w:r>
        <w:rPr>
          <w:rFonts w:cs="Times New Roman" w:ascii="Times New Roman" w:hAnsi="Times New Roman"/>
          <w:i/>
        </w:rPr>
        <w:t>Contractual PPA Capacity</w:t>
      </w:r>
      <w:r>
        <w:rPr>
          <w:rFonts w:cs="Times New Roman" w:ascii="Times New Roman" w:hAnsi="Times New Roman"/>
        </w:rPr>
        <w:t xml:space="preserve"> x </w:t>
      </w:r>
      <w:r>
        <w:rPr>
          <w:rFonts w:cs="Times New Roman" w:ascii="Times New Roman" w:hAnsi="Times New Roman"/>
          <w:i/>
        </w:rPr>
        <w:t>12 months</w:t>
      </w:r>
    </w:p>
    <w:p>
      <w:pPr>
        <w:pStyle w:val="A0b"/>
        <w:numPr>
          <w:ilvl w:val="0"/>
          <w:numId w:val="12"/>
        </w:numPr>
        <w:ind w:hanging="360" w:start="1800" w:end="0"/>
        <w:rPr>
          <w:rFonts w:ascii="Times New Roman" w:hAnsi="Times New Roman" w:cs="Times New Roman"/>
          <w:i/>
          <w:i/>
        </w:rPr>
      </w:pPr>
      <w:r>
        <w:rPr>
          <w:rFonts w:cs="Times New Roman" w:ascii="Times New Roman" w:hAnsi="Times New Roman"/>
          <w:b/>
        </w:rPr>
        <w:t>Energy Payments.</w:t>
      </w:r>
      <w:r>
        <w:rPr>
          <w:rFonts w:cs="Times New Roman" w:ascii="Times New Roman" w:hAnsi="Times New Roman"/>
        </w:rPr>
        <w:t xml:space="preserve">  Enron pays the Energy Payments which are calculated as follows:</w:t>
      </w:r>
    </w:p>
    <w:p>
      <w:pPr>
        <w:pStyle w:val="A0b"/>
        <w:numPr>
          <w:ilvl w:val="0"/>
          <w:numId w:val="0"/>
        </w:numPr>
        <w:ind w:firstLine="720" w:start="1440" w:end="0"/>
        <w:rPr/>
      </w:pPr>
      <w:r>
        <w:rPr>
          <w:rFonts w:cs="Times New Roman" w:ascii="Times New Roman" w:hAnsi="Times New Roman"/>
        </w:rPr>
        <w:t xml:space="preserve">Energy Payments = </w:t>
      </w:r>
      <w:r>
        <w:rPr>
          <w:rFonts w:cs="Times New Roman" w:ascii="Times New Roman" w:hAnsi="Times New Roman"/>
          <w:i/>
        </w:rPr>
        <w:t>Energy Charges</w:t>
      </w:r>
      <w:r>
        <w:rPr>
          <w:rFonts w:cs="Times New Roman" w:ascii="Times New Roman" w:hAnsi="Times New Roman"/>
        </w:rPr>
        <w:t xml:space="preserve"> x </w:t>
      </w:r>
      <w:r>
        <w:rPr>
          <w:rFonts w:cs="Times New Roman" w:ascii="Times New Roman" w:hAnsi="Times New Roman"/>
          <w:i/>
        </w:rPr>
        <w:t>Annual Generation</w:t>
      </w:r>
    </w:p>
    <w:p>
      <w:pPr>
        <w:pStyle w:val="A0b"/>
        <w:numPr>
          <w:ilvl w:val="0"/>
          <w:numId w:val="0"/>
        </w:numPr>
        <w:ind w:firstLine="720" w:start="1080" w:end="0"/>
        <w:rPr>
          <w:rFonts w:ascii="Times New Roman" w:hAnsi="Times New Roman" w:cs="Times New Roman"/>
        </w:rPr>
      </w:pPr>
      <w:r>
        <w:rPr>
          <w:rFonts w:cs="Times New Roman" w:ascii="Times New Roman" w:hAnsi="Times New Roman"/>
        </w:rPr>
        <w:t>Energy Charges are inflated at 3% per annum.</w:t>
      </w:r>
    </w:p>
    <w:p>
      <w:pPr>
        <w:pStyle w:val="A0b"/>
        <w:numPr>
          <w:ilvl w:val="0"/>
          <w:numId w:val="3"/>
        </w:numPr>
        <w:ind w:hanging="360" w:start="1800" w:end="0"/>
        <w:rPr>
          <w:rFonts w:ascii="Times New Roman" w:hAnsi="Times New Roman" w:cs="Times New Roman"/>
        </w:rPr>
      </w:pPr>
      <w:r>
        <w:rPr>
          <w:rFonts w:cs="Times New Roman" w:ascii="Times New Roman" w:hAnsi="Times New Roman"/>
          <w:b/>
        </w:rPr>
        <w:t>Start Charges.</w:t>
      </w:r>
      <w:r>
        <w:rPr>
          <w:rFonts w:cs="Times New Roman" w:ascii="Times New Roman" w:hAnsi="Times New Roman"/>
        </w:rPr>
        <w:t xml:space="preserve">  Enron pays the Start Charges which are defined as follows: </w:t>
      </w:r>
    </w:p>
    <w:p>
      <w:pPr>
        <w:pStyle w:val="A0b"/>
        <w:numPr>
          <w:ilvl w:val="0"/>
          <w:numId w:val="0"/>
        </w:numPr>
        <w:ind w:hanging="0" w:start="2160" w:end="0"/>
        <w:rPr>
          <w:rFonts w:ascii="Times New Roman" w:hAnsi="Times New Roman" w:cs="Times New Roman"/>
        </w:rPr>
      </w:pPr>
      <w:r>
        <w:rPr>
          <w:rFonts w:cs="Times New Roman" w:ascii="Times New Roman" w:hAnsi="Times New Roman"/>
        </w:rPr>
        <w:t xml:space="preserve">Start Charges = </w:t>
      </w:r>
      <w:r>
        <w:rPr>
          <w:rFonts w:cs="Times New Roman" w:ascii="Times New Roman" w:hAnsi="Times New Roman"/>
          <w:i/>
        </w:rPr>
        <w:t>Start Charge ($/Turbine/Start)</w:t>
      </w:r>
      <w:r>
        <w:rPr>
          <w:rFonts w:cs="Times New Roman" w:ascii="Times New Roman" w:hAnsi="Times New Roman"/>
        </w:rPr>
        <w:t xml:space="preserve"> x </w:t>
      </w:r>
      <w:r>
        <w:rPr>
          <w:rFonts w:cs="Times New Roman" w:ascii="Times New Roman" w:hAnsi="Times New Roman"/>
          <w:i/>
        </w:rPr>
        <w:t>75 Starts x Number of Turbines</w:t>
      </w:r>
    </w:p>
    <w:p>
      <w:pPr>
        <w:pStyle w:val="BodyTextIndent2"/>
        <w:spacing w:before="120" w:after="0"/>
        <w:ind w:start="1800" w:end="0"/>
        <w:rPr>
          <w:rFonts w:ascii="Times New Roman" w:hAnsi="Times New Roman" w:cs="Times New Roman"/>
        </w:rPr>
      </w:pPr>
      <w:r>
        <w:rPr>
          <w:rFonts w:cs="Times New Roman" w:ascii="Times New Roman" w:hAnsi="Times New Roman"/>
        </w:rPr>
        <w:t xml:space="preserve">Start Charges escalate at 3% per annum. </w:t>
      </w:r>
    </w:p>
    <w:p>
      <w:pPr>
        <w:pStyle w:val="Sub0n"/>
        <w:ind w:start="1440" w:end="0"/>
        <w:rPr>
          <w:rFonts w:ascii="Times New Roman" w:hAnsi="Times New Roman" w:cs="Times New Roman"/>
        </w:rPr>
      </w:pPr>
      <w:r>
        <w:rPr>
          <w:rFonts w:cs="Times New Roman" w:ascii="Times New Roman" w:hAnsi="Times New Roman"/>
        </w:rPr>
        <w:t>2.</w:t>
        <w:tab/>
        <w:t>Merchant Price Period Operating Revenue Assumptions</w:t>
      </w:r>
    </w:p>
    <w:p>
      <w:pPr>
        <w:pStyle w:val="A0"/>
        <w:rPr/>
      </w:pPr>
      <w:r>
        <w:rPr>
          <w:rFonts w:cs="Times New Roman" w:ascii="Times New Roman" w:hAnsi="Times New Roman"/>
        </w:rPr>
        <w:t>The merchant price period extends from January 1, 2004 through December 31</w:t>
      </w:r>
      <w:r>
        <w:rPr>
          <w:rFonts w:cs="Times New Roman" w:ascii="Times New Roman" w:hAnsi="Times New Roman"/>
          <w:vertAlign w:val="superscript"/>
        </w:rPr>
        <w:t>st</w:t>
      </w:r>
      <w:r>
        <w:rPr>
          <w:rFonts w:cs="Times New Roman" w:ascii="Times New Roman" w:hAnsi="Times New Roman"/>
        </w:rPr>
        <w:t xml:space="preserve">, 2020 for all the 6 Plants.  Merchant capacity prices for the Plants have been independently assessed by ICF.  ICF has provided three capacity price forward curves for the Plants: the TVA curve for the Caledonia, New Albany, Brownsville and Gleason Plants; the Com Ed curve for the Wilton Center Plant; and the Southern ECAR curve for the Wheatland Plant.  The model adjusts ICF’s real capacity price projections to nominal values utilizing an inflation factor of 3%. </w:t>
      </w:r>
    </w:p>
    <w:p>
      <w:pPr>
        <w:pStyle w:val="A0"/>
        <w:numPr>
          <w:ilvl w:val="0"/>
          <w:numId w:val="15"/>
        </w:numPr>
        <w:tabs>
          <w:tab w:val="clear" w:pos="720"/>
          <w:tab w:val="left" w:pos="1800" w:leader="none"/>
        </w:tabs>
        <w:ind w:hanging="360" w:start="1800" w:end="0"/>
        <w:rPr>
          <w:rFonts w:ascii="Times New Roman" w:hAnsi="Times New Roman" w:cs="Times New Roman"/>
          <w:i/>
          <w:i/>
        </w:rPr>
      </w:pPr>
      <w:r>
        <w:rPr>
          <w:rFonts w:cs="Times New Roman" w:ascii="Times New Roman" w:hAnsi="Times New Roman"/>
          <w:b/>
        </w:rPr>
        <w:t>Demand Payments.</w:t>
      </w:r>
      <w:r>
        <w:rPr>
          <w:rFonts w:cs="Times New Roman" w:ascii="Times New Roman" w:hAnsi="Times New Roman"/>
        </w:rPr>
        <w:t xml:space="preserve">  Demand Payments are determined as follows:</w:t>
      </w:r>
    </w:p>
    <w:p>
      <w:pPr>
        <w:pStyle w:val="A0"/>
        <w:ind w:start="1800" w:end="0"/>
        <w:rPr/>
      </w:pPr>
      <w:r>
        <w:rPr>
          <w:rFonts w:cs="Times New Roman" w:ascii="Times New Roman" w:hAnsi="Times New Roman"/>
        </w:rPr>
        <w:t xml:space="preserve">Demand Payments = </w:t>
      </w:r>
      <w:r>
        <w:rPr>
          <w:rFonts w:cs="Times New Roman" w:ascii="Times New Roman" w:hAnsi="Times New Roman"/>
          <w:i/>
        </w:rPr>
        <w:t>Contractual PPA Capacity</w:t>
      </w:r>
      <w:r>
        <w:rPr>
          <w:rFonts w:cs="Times New Roman" w:ascii="Times New Roman" w:hAnsi="Times New Roman"/>
        </w:rPr>
        <w:t xml:space="preserve"> x </w:t>
      </w:r>
      <w:r>
        <w:rPr>
          <w:rFonts w:cs="Times New Roman" w:ascii="Times New Roman" w:hAnsi="Times New Roman"/>
          <w:i/>
        </w:rPr>
        <w:t xml:space="preserve">ICF Base Case Capacity Price </w:t>
      </w:r>
      <w:r>
        <w:rPr>
          <w:rFonts w:cs="Times New Roman" w:ascii="Times New Roman" w:hAnsi="Times New Roman"/>
        </w:rPr>
        <w:t xml:space="preserve">x </w:t>
      </w:r>
      <w:r>
        <w:rPr>
          <w:rFonts w:cs="Times New Roman" w:ascii="Times New Roman" w:hAnsi="Times New Roman"/>
          <w:i/>
        </w:rPr>
        <w:t>12 months</w:t>
      </w:r>
    </w:p>
    <w:p>
      <w:pPr>
        <w:pStyle w:val="BodyTextIndent2"/>
        <w:spacing w:before="120" w:after="0"/>
        <w:ind w:start="1800" w:end="0"/>
        <w:rPr>
          <w:rFonts w:ascii="Times New Roman" w:hAnsi="Times New Roman" w:cs="Times New Roman"/>
        </w:rPr>
      </w:pPr>
      <w:r>
        <w:rPr>
          <w:rFonts w:cs="Times New Roman" w:ascii="Times New Roman" w:hAnsi="Times New Roman"/>
        </w:rPr>
        <w:t>ICF Base Case Capacity Prices are listed in the table below.</w:t>
      </w:r>
    </w:p>
    <w:p>
      <w:pPr>
        <w:pStyle w:val="BodyTextIndent2"/>
        <w:spacing w:before="120" w:after="0"/>
        <w:ind w:start="1800" w:end="0"/>
        <w:rPr>
          <w:rFonts w:ascii="Times New Roman" w:hAnsi="Times New Roman" w:cs="Times New Roman"/>
        </w:rPr>
      </w:pPr>
      <w:r>
        <w:rPr>
          <w:rFonts w:cs="Times New Roman" w:ascii="Times New Roman" w:hAnsi="Times New Roman"/>
        </w:rPr>
      </w:r>
    </w:p>
    <w:p>
      <w:pPr>
        <w:pStyle w:val="Ttl0"/>
        <w:keepNext w:val="true"/>
        <w:rPr>
          <w:rFonts w:ascii="Times New Roman" w:hAnsi="Times New Roman" w:cs="Times New Roman"/>
          <w:sz w:val="24"/>
        </w:rPr>
      </w:pPr>
      <w:r>
        <w:rPr>
          <w:rFonts w:cs="Times New Roman" w:ascii="Times New Roman" w:hAnsi="Times New Roman"/>
          <w:sz w:val="24"/>
        </w:rPr>
        <w:t>ICF Base Case Capacity Prices</w:t>
      </w:r>
    </w:p>
    <w:p>
      <w:pPr>
        <w:pStyle w:val="Tsl0"/>
        <w:spacing w:before="0" w:after="40"/>
        <w:rPr/>
      </w:pPr>
      <w:r>
        <w:rPr/>
        <w:t>(Nominal $/kW–month)</w:t>
      </w:r>
    </w:p>
    <w:tbl>
      <w:tblPr>
        <w:tblW w:w="9600" w:type="dxa"/>
        <w:jc w:val="start"/>
        <w:tblInd w:w="0" w:type="dxa"/>
        <w:tblLayout w:type="fixed"/>
        <w:tblCellMar>
          <w:top w:w="0" w:type="dxa"/>
          <w:start w:w="0" w:type="dxa"/>
          <w:bottom w:w="0" w:type="dxa"/>
          <w:end w:w="0" w:type="dxa"/>
        </w:tblCellMar>
      </w:tblPr>
      <w:tblGrid>
        <w:gridCol w:w="1440"/>
        <w:gridCol w:w="480"/>
        <w:gridCol w:w="480"/>
        <w:gridCol w:w="480"/>
        <w:gridCol w:w="480"/>
        <w:gridCol w:w="480"/>
        <w:gridCol w:w="480"/>
        <w:gridCol w:w="480"/>
        <w:gridCol w:w="480"/>
        <w:gridCol w:w="480"/>
        <w:gridCol w:w="480"/>
        <w:gridCol w:w="480"/>
        <w:gridCol w:w="480"/>
        <w:gridCol w:w="480"/>
        <w:gridCol w:w="480"/>
        <w:gridCol w:w="480"/>
        <w:gridCol w:w="480"/>
        <w:gridCol w:w="480"/>
      </w:tblGrid>
      <w:tr>
        <w:trPr/>
        <w:tc>
          <w:tcPr>
            <w:tcW w:w="1440" w:type="dxa"/>
            <w:tcBorders>
              <w:top w:val="single" w:sz="18" w:space="0" w:color="000000"/>
              <w:bottom w:val="single" w:sz="6" w:space="0" w:color="000000"/>
            </w:tcBorders>
          </w:tcPr>
          <w:p>
            <w:pPr>
              <w:pStyle w:val="Normal"/>
              <w:snapToGrid w:val="false"/>
              <w:spacing w:before="36" w:after="36"/>
              <w:rPr>
                <w:caps/>
                <w:sz w:val="14"/>
              </w:rPr>
            </w:pPr>
            <w:r>
              <w:rPr>
                <w:caps/>
                <w:sz w:val="14"/>
              </w:rPr>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2007</w:t>
            </w:r>
          </w:p>
        </w:tc>
        <w:tc>
          <w:tcPr>
            <w:tcW w:w="480" w:type="dxa"/>
            <w:tcBorders>
              <w:top w:val="single" w:sz="18" w:space="0" w:color="000000"/>
              <w:bottom w:val="single" w:sz="6" w:space="0" w:color="000000"/>
            </w:tcBorders>
          </w:tcPr>
          <w:p>
            <w:pPr>
              <w:pStyle w:val="TableHeadings"/>
              <w:tabs>
                <w:tab w:val="clear" w:pos="720"/>
                <w:tab w:val="decimal" w:pos="54" w:leader="none"/>
              </w:tabs>
              <w:spacing w:before="36" w:after="36"/>
              <w:rPr>
                <w:rFonts w:ascii="Times New Roman" w:hAnsi="Times New Roman" w:cs="Times New Roman"/>
                <w:sz w:val="14"/>
              </w:rPr>
            </w:pPr>
            <w:r>
              <w:rPr>
                <w:rFonts w:cs="Times New Roman" w:ascii="Times New Roman" w:hAnsi="Times New Roman"/>
                <w:sz w:val="14"/>
              </w:rPr>
              <w:t>2008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2009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2010</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2011</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2012</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2013</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2014</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2015</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2016</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2017</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2018</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2019</w:t>
            </w:r>
          </w:p>
        </w:tc>
        <w:tc>
          <w:tcPr>
            <w:tcW w:w="480" w:type="dxa"/>
            <w:tcBorders>
              <w:top w:val="single" w:sz="18" w:space="0" w:color="000000"/>
              <w:bottom w:val="single" w:sz="6" w:space="0" w:color="000000"/>
            </w:tcBorders>
          </w:tcPr>
          <w:p>
            <w:pPr>
              <w:pStyle w:val="Normal"/>
              <w:tabs>
                <w:tab w:val="clear" w:pos="720"/>
                <w:tab w:val="decimal" w:pos="54" w:leader="none"/>
              </w:tabs>
              <w:spacing w:before="36" w:after="36"/>
              <w:jc w:val="center"/>
              <w:rPr>
                <w:caps/>
                <w:sz w:val="14"/>
              </w:rPr>
            </w:pPr>
            <w:r>
              <w:rPr>
                <w:caps/>
                <w:sz w:val="14"/>
              </w:rPr>
              <w:t>2020</w:t>
            </w:r>
          </w:p>
        </w:tc>
      </w:tr>
      <w:tr>
        <w:trPr/>
        <w:tc>
          <w:tcPr>
            <w:tcW w:w="1440" w:type="dxa"/>
            <w:tcBorders/>
          </w:tcPr>
          <w:p>
            <w:pPr>
              <w:pStyle w:val="Normal"/>
              <w:spacing w:before="216" w:after="36"/>
              <w:rPr>
                <w:sz w:val="16"/>
              </w:rPr>
            </w:pPr>
            <w:r>
              <w:rPr>
                <w:sz w:val="16"/>
              </w:rPr>
              <w:t>TVA</w:t>
            </w:r>
          </w:p>
        </w:tc>
        <w:tc>
          <w:tcPr>
            <w:tcW w:w="480" w:type="dxa"/>
            <w:tcBorders/>
          </w:tcPr>
          <w:p>
            <w:pPr>
              <w:pStyle w:val="Normal"/>
              <w:tabs>
                <w:tab w:val="clear" w:pos="720"/>
                <w:tab w:val="decimal" w:pos="144" w:leader="none"/>
              </w:tabs>
              <w:spacing w:before="216" w:after="36"/>
              <w:rPr>
                <w:sz w:val="16"/>
              </w:rPr>
            </w:pPr>
            <w:r>
              <w:rPr>
                <w:sz w:val="16"/>
              </w:rPr>
              <w:t>6.42</w:t>
            </w:r>
          </w:p>
        </w:tc>
        <w:tc>
          <w:tcPr>
            <w:tcW w:w="480" w:type="dxa"/>
            <w:tcBorders/>
          </w:tcPr>
          <w:p>
            <w:pPr>
              <w:pStyle w:val="Normal"/>
              <w:tabs>
                <w:tab w:val="clear" w:pos="720"/>
                <w:tab w:val="decimal" w:pos="144" w:leader="none"/>
              </w:tabs>
              <w:spacing w:before="216" w:after="36"/>
              <w:rPr>
                <w:sz w:val="16"/>
              </w:rPr>
            </w:pPr>
            <w:r>
              <w:rPr>
                <w:sz w:val="16"/>
              </w:rPr>
              <w:t>6.74</w:t>
            </w:r>
          </w:p>
        </w:tc>
        <w:tc>
          <w:tcPr>
            <w:tcW w:w="480" w:type="dxa"/>
            <w:tcBorders/>
          </w:tcPr>
          <w:p>
            <w:pPr>
              <w:pStyle w:val="Normal"/>
              <w:tabs>
                <w:tab w:val="clear" w:pos="720"/>
                <w:tab w:val="decimal" w:pos="144" w:leader="none"/>
              </w:tabs>
              <w:spacing w:before="216" w:after="36"/>
              <w:rPr>
                <w:sz w:val="16"/>
              </w:rPr>
            </w:pPr>
            <w:r>
              <w:rPr>
                <w:sz w:val="16"/>
              </w:rPr>
              <w:t>6.82</w:t>
            </w:r>
          </w:p>
        </w:tc>
        <w:tc>
          <w:tcPr>
            <w:tcW w:w="480" w:type="dxa"/>
            <w:tcBorders/>
          </w:tcPr>
          <w:p>
            <w:pPr>
              <w:pStyle w:val="Normal"/>
              <w:tabs>
                <w:tab w:val="clear" w:pos="720"/>
                <w:tab w:val="decimal" w:pos="144" w:leader="none"/>
              </w:tabs>
              <w:spacing w:before="216" w:after="36"/>
              <w:rPr>
                <w:sz w:val="16"/>
              </w:rPr>
            </w:pPr>
            <w:r>
              <w:rPr>
                <w:sz w:val="16"/>
              </w:rPr>
              <w:t>6.91</w:t>
            </w:r>
          </w:p>
        </w:tc>
        <w:tc>
          <w:tcPr>
            <w:tcW w:w="480" w:type="dxa"/>
            <w:tcBorders/>
          </w:tcPr>
          <w:p>
            <w:pPr>
              <w:pStyle w:val="Normal"/>
              <w:tabs>
                <w:tab w:val="clear" w:pos="720"/>
                <w:tab w:val="decimal" w:pos="144" w:leader="none"/>
              </w:tabs>
              <w:spacing w:before="216" w:after="36"/>
              <w:rPr>
                <w:sz w:val="16"/>
              </w:rPr>
            </w:pPr>
            <w:r>
              <w:rPr>
                <w:sz w:val="16"/>
              </w:rPr>
              <w:t>7.00</w:t>
            </w:r>
          </w:p>
        </w:tc>
        <w:tc>
          <w:tcPr>
            <w:tcW w:w="480" w:type="dxa"/>
            <w:tcBorders/>
          </w:tcPr>
          <w:p>
            <w:pPr>
              <w:pStyle w:val="Normal"/>
              <w:tabs>
                <w:tab w:val="clear" w:pos="720"/>
                <w:tab w:val="decimal" w:pos="144" w:leader="none"/>
              </w:tabs>
              <w:spacing w:before="216" w:after="36"/>
              <w:rPr>
                <w:sz w:val="16"/>
              </w:rPr>
            </w:pPr>
            <w:r>
              <w:rPr>
                <w:sz w:val="16"/>
              </w:rPr>
              <w:t>7.09</w:t>
            </w:r>
          </w:p>
        </w:tc>
        <w:tc>
          <w:tcPr>
            <w:tcW w:w="480" w:type="dxa"/>
            <w:tcBorders/>
          </w:tcPr>
          <w:p>
            <w:pPr>
              <w:pStyle w:val="Normal"/>
              <w:tabs>
                <w:tab w:val="clear" w:pos="720"/>
                <w:tab w:val="decimal" w:pos="144" w:leader="none"/>
              </w:tabs>
              <w:spacing w:before="216" w:after="36"/>
              <w:rPr>
                <w:sz w:val="16"/>
              </w:rPr>
            </w:pPr>
            <w:r>
              <w:rPr>
                <w:sz w:val="16"/>
              </w:rPr>
              <w:t>7.18</w:t>
            </w:r>
          </w:p>
        </w:tc>
        <w:tc>
          <w:tcPr>
            <w:tcW w:w="480" w:type="dxa"/>
            <w:tcBorders/>
          </w:tcPr>
          <w:p>
            <w:pPr>
              <w:pStyle w:val="Normal"/>
              <w:tabs>
                <w:tab w:val="clear" w:pos="720"/>
                <w:tab w:val="decimal" w:pos="144" w:leader="none"/>
              </w:tabs>
              <w:spacing w:before="216" w:after="36"/>
              <w:rPr>
                <w:sz w:val="16"/>
              </w:rPr>
            </w:pPr>
            <w:r>
              <w:rPr>
                <w:sz w:val="16"/>
              </w:rPr>
              <w:t>7.32</w:t>
            </w:r>
          </w:p>
        </w:tc>
        <w:tc>
          <w:tcPr>
            <w:tcW w:w="480" w:type="dxa"/>
            <w:tcBorders/>
          </w:tcPr>
          <w:p>
            <w:pPr>
              <w:pStyle w:val="Normal"/>
              <w:tabs>
                <w:tab w:val="clear" w:pos="720"/>
                <w:tab w:val="decimal" w:pos="144" w:leader="none"/>
              </w:tabs>
              <w:spacing w:before="216" w:after="36"/>
              <w:rPr>
                <w:sz w:val="16"/>
              </w:rPr>
            </w:pPr>
            <w:r>
              <w:rPr>
                <w:sz w:val="16"/>
              </w:rPr>
              <w:t>7.46</w:t>
            </w:r>
          </w:p>
        </w:tc>
        <w:tc>
          <w:tcPr>
            <w:tcW w:w="480" w:type="dxa"/>
            <w:tcBorders/>
          </w:tcPr>
          <w:p>
            <w:pPr>
              <w:pStyle w:val="Normal"/>
              <w:tabs>
                <w:tab w:val="clear" w:pos="720"/>
                <w:tab w:val="decimal" w:pos="144" w:leader="none"/>
              </w:tabs>
              <w:spacing w:before="216" w:after="36"/>
              <w:rPr>
                <w:sz w:val="16"/>
              </w:rPr>
            </w:pPr>
            <w:r>
              <w:rPr>
                <w:sz w:val="16"/>
              </w:rPr>
              <w:t>7.60</w:t>
            </w:r>
          </w:p>
        </w:tc>
        <w:tc>
          <w:tcPr>
            <w:tcW w:w="480" w:type="dxa"/>
            <w:tcBorders/>
          </w:tcPr>
          <w:p>
            <w:pPr>
              <w:pStyle w:val="Normal"/>
              <w:tabs>
                <w:tab w:val="clear" w:pos="720"/>
                <w:tab w:val="decimal" w:pos="144" w:leader="none"/>
              </w:tabs>
              <w:spacing w:before="216" w:after="36"/>
              <w:rPr>
                <w:sz w:val="16"/>
              </w:rPr>
            </w:pPr>
            <w:r>
              <w:rPr>
                <w:sz w:val="16"/>
              </w:rPr>
              <w:t>7.74</w:t>
            </w:r>
          </w:p>
        </w:tc>
        <w:tc>
          <w:tcPr>
            <w:tcW w:w="480" w:type="dxa"/>
            <w:tcBorders/>
          </w:tcPr>
          <w:p>
            <w:pPr>
              <w:pStyle w:val="Normal"/>
              <w:tabs>
                <w:tab w:val="clear" w:pos="720"/>
                <w:tab w:val="decimal" w:pos="144" w:leader="none"/>
              </w:tabs>
              <w:spacing w:before="216" w:after="36"/>
              <w:rPr>
                <w:sz w:val="16"/>
              </w:rPr>
            </w:pPr>
            <w:r>
              <w:rPr>
                <w:sz w:val="16"/>
              </w:rPr>
              <w:t>7.89</w:t>
            </w:r>
          </w:p>
        </w:tc>
        <w:tc>
          <w:tcPr>
            <w:tcW w:w="480" w:type="dxa"/>
            <w:tcBorders/>
          </w:tcPr>
          <w:p>
            <w:pPr>
              <w:pStyle w:val="Normal"/>
              <w:tabs>
                <w:tab w:val="clear" w:pos="720"/>
                <w:tab w:val="decimal" w:pos="144" w:leader="none"/>
              </w:tabs>
              <w:spacing w:before="216" w:after="36"/>
              <w:rPr>
                <w:sz w:val="16"/>
              </w:rPr>
            </w:pPr>
            <w:r>
              <w:rPr>
                <w:sz w:val="16"/>
              </w:rPr>
              <w:t>8.00</w:t>
            </w:r>
          </w:p>
        </w:tc>
        <w:tc>
          <w:tcPr>
            <w:tcW w:w="480" w:type="dxa"/>
            <w:tcBorders/>
          </w:tcPr>
          <w:p>
            <w:pPr>
              <w:pStyle w:val="Normal"/>
              <w:tabs>
                <w:tab w:val="clear" w:pos="720"/>
                <w:tab w:val="decimal" w:pos="144" w:leader="none"/>
              </w:tabs>
              <w:spacing w:before="216" w:after="36"/>
              <w:rPr>
                <w:sz w:val="16"/>
              </w:rPr>
            </w:pPr>
            <w:r>
              <w:rPr>
                <w:sz w:val="16"/>
              </w:rPr>
              <w:t>8.11</w:t>
            </w:r>
          </w:p>
        </w:tc>
        <w:tc>
          <w:tcPr>
            <w:tcW w:w="480" w:type="dxa"/>
            <w:tcBorders/>
          </w:tcPr>
          <w:p>
            <w:pPr>
              <w:pStyle w:val="Normal"/>
              <w:tabs>
                <w:tab w:val="clear" w:pos="720"/>
                <w:tab w:val="decimal" w:pos="144" w:leader="none"/>
              </w:tabs>
              <w:spacing w:before="216" w:after="36"/>
              <w:rPr>
                <w:sz w:val="16"/>
              </w:rPr>
            </w:pPr>
            <w:r>
              <w:rPr>
                <w:sz w:val="16"/>
              </w:rPr>
              <w:t>8.23</w:t>
            </w:r>
          </w:p>
        </w:tc>
        <w:tc>
          <w:tcPr>
            <w:tcW w:w="480" w:type="dxa"/>
            <w:tcBorders/>
          </w:tcPr>
          <w:p>
            <w:pPr>
              <w:pStyle w:val="Normal"/>
              <w:tabs>
                <w:tab w:val="clear" w:pos="720"/>
                <w:tab w:val="decimal" w:pos="144" w:leader="none"/>
              </w:tabs>
              <w:spacing w:before="216" w:after="36"/>
              <w:rPr>
                <w:sz w:val="16"/>
              </w:rPr>
            </w:pPr>
            <w:r>
              <w:rPr>
                <w:sz w:val="16"/>
              </w:rPr>
              <w:t>8.35</w:t>
            </w:r>
          </w:p>
        </w:tc>
        <w:tc>
          <w:tcPr>
            <w:tcW w:w="480" w:type="dxa"/>
            <w:tcBorders/>
          </w:tcPr>
          <w:p>
            <w:pPr>
              <w:pStyle w:val="Normal"/>
              <w:tabs>
                <w:tab w:val="clear" w:pos="720"/>
                <w:tab w:val="decimal" w:pos="144" w:leader="none"/>
              </w:tabs>
              <w:spacing w:before="216" w:after="36"/>
              <w:rPr>
                <w:sz w:val="16"/>
              </w:rPr>
            </w:pPr>
            <w:r>
              <w:rPr>
                <w:sz w:val="16"/>
              </w:rPr>
              <w:t>8.47</w:t>
            </w:r>
          </w:p>
        </w:tc>
      </w:tr>
      <w:tr>
        <w:trPr/>
        <w:tc>
          <w:tcPr>
            <w:tcW w:w="1440" w:type="dxa"/>
            <w:tcBorders/>
          </w:tcPr>
          <w:p>
            <w:pPr>
              <w:pStyle w:val="Normal"/>
              <w:spacing w:before="216" w:after="36"/>
              <w:rPr>
                <w:sz w:val="16"/>
              </w:rPr>
            </w:pPr>
            <w:r>
              <w:rPr>
                <w:sz w:val="16"/>
              </w:rPr>
              <w:t xml:space="preserve">Southern ECAR </w:t>
            </w:r>
          </w:p>
        </w:tc>
        <w:tc>
          <w:tcPr>
            <w:tcW w:w="480" w:type="dxa"/>
            <w:tcBorders/>
          </w:tcPr>
          <w:p>
            <w:pPr>
              <w:pStyle w:val="Normal"/>
              <w:tabs>
                <w:tab w:val="clear" w:pos="720"/>
                <w:tab w:val="decimal" w:pos="144" w:leader="none"/>
              </w:tabs>
              <w:spacing w:before="216" w:after="36"/>
              <w:rPr>
                <w:sz w:val="16"/>
              </w:rPr>
            </w:pPr>
            <w:r>
              <w:rPr>
                <w:sz w:val="16"/>
              </w:rPr>
              <w:t>6.77</w:t>
            </w:r>
          </w:p>
        </w:tc>
        <w:tc>
          <w:tcPr>
            <w:tcW w:w="480" w:type="dxa"/>
            <w:tcBorders/>
          </w:tcPr>
          <w:p>
            <w:pPr>
              <w:pStyle w:val="Normal"/>
              <w:tabs>
                <w:tab w:val="clear" w:pos="720"/>
                <w:tab w:val="decimal" w:pos="144" w:leader="none"/>
              </w:tabs>
              <w:spacing w:before="216" w:after="36"/>
              <w:rPr>
                <w:sz w:val="16"/>
              </w:rPr>
            </w:pPr>
            <w:r>
              <w:rPr>
                <w:sz w:val="16"/>
              </w:rPr>
              <w:t>7.13</w:t>
            </w:r>
          </w:p>
        </w:tc>
        <w:tc>
          <w:tcPr>
            <w:tcW w:w="480" w:type="dxa"/>
            <w:tcBorders/>
          </w:tcPr>
          <w:p>
            <w:pPr>
              <w:pStyle w:val="Normal"/>
              <w:tabs>
                <w:tab w:val="clear" w:pos="720"/>
                <w:tab w:val="decimal" w:pos="144" w:leader="none"/>
              </w:tabs>
              <w:spacing w:before="216" w:after="36"/>
              <w:rPr>
                <w:sz w:val="16"/>
              </w:rPr>
            </w:pPr>
            <w:r>
              <w:rPr>
                <w:sz w:val="16"/>
              </w:rPr>
              <w:t>7.27</w:t>
            </w:r>
          </w:p>
        </w:tc>
        <w:tc>
          <w:tcPr>
            <w:tcW w:w="480" w:type="dxa"/>
            <w:tcBorders/>
          </w:tcPr>
          <w:p>
            <w:pPr>
              <w:pStyle w:val="Normal"/>
              <w:tabs>
                <w:tab w:val="clear" w:pos="720"/>
                <w:tab w:val="decimal" w:pos="144" w:leader="none"/>
              </w:tabs>
              <w:spacing w:before="216" w:after="36"/>
              <w:rPr>
                <w:sz w:val="16"/>
              </w:rPr>
            </w:pPr>
            <w:r>
              <w:rPr>
                <w:sz w:val="16"/>
              </w:rPr>
              <w:t>7.42</w:t>
            </w:r>
          </w:p>
        </w:tc>
        <w:tc>
          <w:tcPr>
            <w:tcW w:w="480" w:type="dxa"/>
            <w:tcBorders/>
          </w:tcPr>
          <w:p>
            <w:pPr>
              <w:pStyle w:val="Normal"/>
              <w:tabs>
                <w:tab w:val="clear" w:pos="720"/>
                <w:tab w:val="decimal" w:pos="144" w:leader="none"/>
              </w:tabs>
              <w:spacing w:before="216" w:after="36"/>
              <w:rPr>
                <w:sz w:val="16"/>
              </w:rPr>
            </w:pPr>
            <w:r>
              <w:rPr>
                <w:sz w:val="16"/>
              </w:rPr>
              <w:t>7.57</w:t>
            </w:r>
          </w:p>
        </w:tc>
        <w:tc>
          <w:tcPr>
            <w:tcW w:w="480" w:type="dxa"/>
            <w:tcBorders/>
          </w:tcPr>
          <w:p>
            <w:pPr>
              <w:pStyle w:val="Normal"/>
              <w:tabs>
                <w:tab w:val="clear" w:pos="720"/>
                <w:tab w:val="decimal" w:pos="144" w:leader="none"/>
              </w:tabs>
              <w:spacing w:before="216" w:after="36"/>
              <w:rPr>
                <w:sz w:val="16"/>
              </w:rPr>
            </w:pPr>
            <w:r>
              <w:rPr>
                <w:sz w:val="16"/>
              </w:rPr>
              <w:t>7.73</w:t>
            </w:r>
          </w:p>
        </w:tc>
        <w:tc>
          <w:tcPr>
            <w:tcW w:w="480" w:type="dxa"/>
            <w:tcBorders/>
          </w:tcPr>
          <w:p>
            <w:pPr>
              <w:pStyle w:val="Normal"/>
              <w:tabs>
                <w:tab w:val="clear" w:pos="720"/>
                <w:tab w:val="decimal" w:pos="144" w:leader="none"/>
              </w:tabs>
              <w:spacing w:before="216" w:after="36"/>
              <w:rPr>
                <w:sz w:val="16"/>
              </w:rPr>
            </w:pPr>
            <w:r>
              <w:rPr>
                <w:sz w:val="16"/>
              </w:rPr>
              <w:t>7.88</w:t>
            </w:r>
          </w:p>
        </w:tc>
        <w:tc>
          <w:tcPr>
            <w:tcW w:w="480" w:type="dxa"/>
            <w:tcBorders/>
          </w:tcPr>
          <w:p>
            <w:pPr>
              <w:pStyle w:val="Normal"/>
              <w:tabs>
                <w:tab w:val="clear" w:pos="720"/>
                <w:tab w:val="decimal" w:pos="144" w:leader="none"/>
              </w:tabs>
              <w:spacing w:before="216" w:after="36"/>
              <w:rPr>
                <w:sz w:val="16"/>
              </w:rPr>
            </w:pPr>
            <w:r>
              <w:rPr>
                <w:sz w:val="16"/>
              </w:rPr>
              <w:t>7.98</w:t>
            </w:r>
          </w:p>
        </w:tc>
        <w:tc>
          <w:tcPr>
            <w:tcW w:w="480" w:type="dxa"/>
            <w:tcBorders/>
          </w:tcPr>
          <w:p>
            <w:pPr>
              <w:pStyle w:val="Normal"/>
              <w:tabs>
                <w:tab w:val="clear" w:pos="720"/>
                <w:tab w:val="decimal" w:pos="144" w:leader="none"/>
              </w:tabs>
              <w:spacing w:before="216" w:after="36"/>
              <w:rPr>
                <w:sz w:val="16"/>
              </w:rPr>
            </w:pPr>
            <w:r>
              <w:rPr>
                <w:sz w:val="16"/>
              </w:rPr>
              <w:t>8.09</w:t>
            </w:r>
          </w:p>
        </w:tc>
        <w:tc>
          <w:tcPr>
            <w:tcW w:w="480" w:type="dxa"/>
            <w:tcBorders/>
          </w:tcPr>
          <w:p>
            <w:pPr>
              <w:pStyle w:val="Normal"/>
              <w:tabs>
                <w:tab w:val="clear" w:pos="720"/>
                <w:tab w:val="decimal" w:pos="144" w:leader="none"/>
              </w:tabs>
              <w:spacing w:before="216" w:after="36"/>
              <w:rPr>
                <w:sz w:val="16"/>
              </w:rPr>
            </w:pPr>
            <w:r>
              <w:rPr>
                <w:sz w:val="16"/>
              </w:rPr>
              <w:t>8.19</w:t>
            </w:r>
          </w:p>
        </w:tc>
        <w:tc>
          <w:tcPr>
            <w:tcW w:w="480" w:type="dxa"/>
            <w:tcBorders/>
          </w:tcPr>
          <w:p>
            <w:pPr>
              <w:pStyle w:val="Normal"/>
              <w:tabs>
                <w:tab w:val="clear" w:pos="720"/>
                <w:tab w:val="decimal" w:pos="144" w:leader="none"/>
              </w:tabs>
              <w:spacing w:before="216" w:after="36"/>
              <w:rPr>
                <w:sz w:val="16"/>
              </w:rPr>
            </w:pPr>
            <w:r>
              <w:rPr>
                <w:sz w:val="16"/>
              </w:rPr>
              <w:t>8.30</w:t>
            </w:r>
          </w:p>
        </w:tc>
        <w:tc>
          <w:tcPr>
            <w:tcW w:w="480" w:type="dxa"/>
            <w:tcBorders/>
          </w:tcPr>
          <w:p>
            <w:pPr>
              <w:pStyle w:val="Normal"/>
              <w:tabs>
                <w:tab w:val="clear" w:pos="720"/>
                <w:tab w:val="decimal" w:pos="144" w:leader="none"/>
              </w:tabs>
              <w:spacing w:before="216" w:after="36"/>
              <w:rPr>
                <w:sz w:val="16"/>
              </w:rPr>
            </w:pPr>
            <w:r>
              <w:rPr>
                <w:sz w:val="16"/>
              </w:rPr>
              <w:t>8.40</w:t>
            </w:r>
          </w:p>
        </w:tc>
        <w:tc>
          <w:tcPr>
            <w:tcW w:w="480" w:type="dxa"/>
            <w:tcBorders/>
          </w:tcPr>
          <w:p>
            <w:pPr>
              <w:pStyle w:val="Normal"/>
              <w:tabs>
                <w:tab w:val="clear" w:pos="720"/>
                <w:tab w:val="decimal" w:pos="144" w:leader="none"/>
              </w:tabs>
              <w:spacing w:before="216" w:after="36"/>
              <w:rPr>
                <w:sz w:val="16"/>
              </w:rPr>
            </w:pPr>
            <w:r>
              <w:rPr>
                <w:sz w:val="16"/>
              </w:rPr>
              <w:t>8.53</w:t>
            </w:r>
          </w:p>
        </w:tc>
        <w:tc>
          <w:tcPr>
            <w:tcW w:w="480" w:type="dxa"/>
            <w:tcBorders/>
          </w:tcPr>
          <w:p>
            <w:pPr>
              <w:pStyle w:val="Normal"/>
              <w:tabs>
                <w:tab w:val="clear" w:pos="720"/>
                <w:tab w:val="decimal" w:pos="144" w:leader="none"/>
              </w:tabs>
              <w:spacing w:before="216" w:after="36"/>
              <w:rPr>
                <w:sz w:val="16"/>
              </w:rPr>
            </w:pPr>
            <w:r>
              <w:rPr>
                <w:sz w:val="16"/>
              </w:rPr>
              <w:t>8.66</w:t>
            </w:r>
          </w:p>
        </w:tc>
        <w:tc>
          <w:tcPr>
            <w:tcW w:w="480" w:type="dxa"/>
            <w:tcBorders/>
          </w:tcPr>
          <w:p>
            <w:pPr>
              <w:pStyle w:val="Normal"/>
              <w:tabs>
                <w:tab w:val="clear" w:pos="720"/>
                <w:tab w:val="decimal" w:pos="144" w:leader="none"/>
              </w:tabs>
              <w:spacing w:before="216" w:after="36"/>
              <w:rPr>
                <w:sz w:val="16"/>
              </w:rPr>
            </w:pPr>
            <w:r>
              <w:rPr>
                <w:sz w:val="16"/>
              </w:rPr>
              <w:t>8.79</w:t>
            </w:r>
          </w:p>
        </w:tc>
        <w:tc>
          <w:tcPr>
            <w:tcW w:w="480" w:type="dxa"/>
            <w:tcBorders/>
          </w:tcPr>
          <w:p>
            <w:pPr>
              <w:pStyle w:val="Normal"/>
              <w:tabs>
                <w:tab w:val="clear" w:pos="720"/>
                <w:tab w:val="decimal" w:pos="144" w:leader="none"/>
              </w:tabs>
              <w:spacing w:before="216" w:after="36"/>
              <w:rPr>
                <w:sz w:val="16"/>
              </w:rPr>
            </w:pPr>
            <w:r>
              <w:rPr>
                <w:sz w:val="16"/>
              </w:rPr>
              <w:t>8.92</w:t>
            </w:r>
          </w:p>
        </w:tc>
        <w:tc>
          <w:tcPr>
            <w:tcW w:w="480" w:type="dxa"/>
            <w:tcBorders/>
          </w:tcPr>
          <w:p>
            <w:pPr>
              <w:pStyle w:val="Normal"/>
              <w:tabs>
                <w:tab w:val="clear" w:pos="720"/>
                <w:tab w:val="decimal" w:pos="144" w:leader="none"/>
              </w:tabs>
              <w:spacing w:before="216" w:after="36"/>
              <w:rPr>
                <w:sz w:val="16"/>
              </w:rPr>
            </w:pPr>
            <w:r>
              <w:rPr>
                <w:sz w:val="16"/>
              </w:rPr>
              <w:t>9.06</w:t>
            </w:r>
          </w:p>
        </w:tc>
      </w:tr>
      <w:tr>
        <w:trPr/>
        <w:tc>
          <w:tcPr>
            <w:tcW w:w="1440" w:type="dxa"/>
            <w:tcBorders>
              <w:bottom w:val="single" w:sz="4" w:space="0" w:color="000000"/>
            </w:tcBorders>
          </w:tcPr>
          <w:p>
            <w:pPr>
              <w:pStyle w:val="Normal"/>
              <w:spacing w:before="216" w:after="36"/>
              <w:rPr>
                <w:sz w:val="16"/>
              </w:rPr>
            </w:pPr>
            <w:r>
              <w:rPr>
                <w:sz w:val="16"/>
              </w:rPr>
              <w:t>Com Ed</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6.70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7.01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7.15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7.30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7.45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7.60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7.75</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7.90</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8.06</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8.21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8.38</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8.54</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8.67</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8.81</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8.94</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9.08</w:t>
            </w:r>
          </w:p>
        </w:tc>
        <w:tc>
          <w:tcPr>
            <w:tcW w:w="480" w:type="dxa"/>
            <w:tcBorders>
              <w:bottom w:val="single" w:sz="4" w:space="0" w:color="000000"/>
            </w:tcBorders>
          </w:tcPr>
          <w:p>
            <w:pPr>
              <w:pStyle w:val="Normal"/>
              <w:tabs>
                <w:tab w:val="clear" w:pos="720"/>
                <w:tab w:val="decimal" w:pos="144" w:leader="none"/>
              </w:tabs>
              <w:spacing w:before="216" w:after="36"/>
              <w:rPr>
                <w:sz w:val="16"/>
              </w:rPr>
            </w:pPr>
            <w:r>
              <w:rPr>
                <w:sz w:val="16"/>
              </w:rPr>
              <w:t>9.22</w:t>
            </w:r>
          </w:p>
        </w:tc>
      </w:tr>
    </w:tbl>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0"/>
        </w:numPr>
        <w:ind w:hanging="0" w:start="1440" w:end="0"/>
        <w:rPr>
          <w:rFonts w:ascii="Times New Roman" w:hAnsi="Times New Roman" w:cs="Times New Roman"/>
        </w:rPr>
      </w:pPr>
      <w:r>
        <w:rPr>
          <w:rFonts w:cs="Times New Roman" w:ascii="Times New Roman" w:hAnsi="Times New Roman"/>
        </w:rPr>
      </w:r>
    </w:p>
    <w:p>
      <w:pPr>
        <w:pStyle w:val="A0b"/>
        <w:numPr>
          <w:ilvl w:val="0"/>
          <w:numId w:val="6"/>
        </w:numPr>
        <w:tabs>
          <w:tab w:val="clear" w:pos="720"/>
          <w:tab w:val="left" w:pos="1710" w:leader="none"/>
        </w:tabs>
        <w:ind w:hanging="360" w:start="1800" w:end="0"/>
        <w:rPr>
          <w:rFonts w:ascii="Times New Roman" w:hAnsi="Times New Roman" w:cs="Times New Roman"/>
        </w:rPr>
      </w:pPr>
      <w:r>
        <w:rPr>
          <w:rFonts w:cs="Times New Roman" w:ascii="Times New Roman" w:hAnsi="Times New Roman"/>
          <w:b/>
        </w:rPr>
        <w:t>Variable Revenues.</w:t>
      </w:r>
      <w:r>
        <w:rPr>
          <w:rFonts w:cs="Times New Roman" w:ascii="Times New Roman" w:hAnsi="Times New Roman"/>
        </w:rPr>
        <w:t xml:space="preserve">  Variable Revenues are calculated as follows:</w:t>
      </w:r>
    </w:p>
    <w:p>
      <w:pPr>
        <w:pStyle w:val="Normal"/>
        <w:ind w:start="1800" w:end="0"/>
        <w:rPr/>
      </w:pPr>
      <w:r>
        <w:rPr/>
        <w:t>Variable Revenues = [</w:t>
      </w:r>
      <w:r>
        <w:rPr>
          <w:i/>
        </w:rPr>
        <w:t>(1/3)</w:t>
      </w:r>
      <w:r>
        <w:rPr/>
        <w:t xml:space="preserve"> x </w:t>
      </w:r>
      <w:r>
        <w:rPr>
          <w:i/>
        </w:rPr>
        <w:t>Start Charge ($/Turbine/Start</w:t>
      </w:r>
      <w:r>
        <w:rPr/>
        <w:t xml:space="preserve"> x 75</w:t>
      </w:r>
      <w:r>
        <w:rPr>
          <w:i/>
        </w:rPr>
        <w:t xml:space="preserve"> Starts Per Year</w:t>
      </w:r>
      <w:r>
        <w:rPr/>
        <w:t xml:space="preserve"> x </w:t>
      </w:r>
      <w:r>
        <w:rPr>
          <w:i/>
        </w:rPr>
        <w:t>Number of Turbines</w:t>
      </w:r>
      <w:r>
        <w:rPr/>
        <w:t>] + [</w:t>
      </w:r>
      <w:r>
        <w:rPr>
          <w:i/>
        </w:rPr>
        <w:t>Energy Charge</w:t>
      </w:r>
      <w:r>
        <w:rPr/>
        <w:t xml:space="preserve"> x </w:t>
      </w:r>
      <w:r>
        <w:rPr>
          <w:i/>
        </w:rPr>
        <w:t>Annual Generation</w:t>
      </w:r>
      <w:r>
        <w:rPr/>
        <w:t>]</w:t>
      </w:r>
    </w:p>
    <w:p>
      <w:pPr>
        <w:pStyle w:val="BodyTextIndent2"/>
        <w:spacing w:before="120" w:after="0"/>
        <w:ind w:start="1800" w:end="0"/>
        <w:rPr>
          <w:rFonts w:ascii="Times New Roman" w:hAnsi="Times New Roman" w:cs="Times New Roman"/>
        </w:rPr>
      </w:pPr>
      <w:r>
        <w:rPr>
          <w:rFonts w:cs="Times New Roman" w:ascii="Times New Roman" w:hAnsi="Times New Roman"/>
        </w:rPr>
        <w:t>Only a third of the Start Charges are additional revenues, as ICF’s capacity price projections have 2/3 of the value of major maintenance costs embedded as a fixed value.  Start Charges are inflated at 3% per annum.</w:t>
      </w:r>
    </w:p>
    <w:p>
      <w:pPr>
        <w:pStyle w:val="BodyTextIndent2"/>
        <w:spacing w:before="120" w:after="0"/>
        <w:ind w:firstLine="720" w:start="1080" w:end="0"/>
        <w:rPr>
          <w:rFonts w:ascii="Times New Roman" w:hAnsi="Times New Roman" w:cs="Times New Roman"/>
        </w:rPr>
      </w:pPr>
      <w:r>
        <w:rPr>
          <w:rFonts w:cs="Times New Roman" w:ascii="Times New Roman" w:hAnsi="Times New Roman"/>
        </w:rPr>
        <w:t>Energy Charges are escalated at 3% per annum.</w:t>
      </w:r>
    </w:p>
    <w:p>
      <w:pPr>
        <w:pStyle w:val="BodyTextIndent2"/>
        <w:numPr>
          <w:ilvl w:val="0"/>
          <w:numId w:val="28"/>
        </w:numPr>
        <w:tabs>
          <w:tab w:val="clear" w:pos="720"/>
          <w:tab w:val="left" w:pos="1710" w:leader="none"/>
        </w:tabs>
        <w:spacing w:before="120" w:after="0"/>
        <w:ind w:hanging="360" w:start="1800" w:end="0"/>
        <w:rPr>
          <w:rFonts w:ascii="Times New Roman" w:hAnsi="Times New Roman" w:cs="Times New Roman"/>
        </w:rPr>
      </w:pPr>
      <w:r>
        <w:rPr>
          <w:rFonts w:cs="Times New Roman" w:ascii="Times New Roman" w:hAnsi="Times New Roman"/>
          <w:b/>
        </w:rPr>
        <w:t>Amortization of Power Contract.</w:t>
      </w:r>
      <w:r>
        <w:rPr>
          <w:rFonts w:cs="Times New Roman" w:ascii="Times New Roman" w:hAnsi="Times New Roman"/>
        </w:rPr>
        <w:t xml:space="preserve">  The Power Contract Liability is amortized on a straight-line schedule over the Fixed Price Period.</w:t>
      </w:r>
    </w:p>
    <w:p>
      <w:pPr>
        <w:pStyle w:val="Sub0n"/>
        <w:ind w:start="1440" w:end="0"/>
        <w:rPr>
          <w:rFonts w:ascii="Times New Roman" w:hAnsi="Times New Roman" w:cs="Times New Roman"/>
        </w:rPr>
      </w:pPr>
      <w:r>
        <w:rPr>
          <w:rFonts w:cs="Times New Roman" w:ascii="Times New Roman" w:hAnsi="Times New Roman"/>
        </w:rPr>
        <w:t>3.</w:t>
        <w:tab/>
        <w:t xml:space="preserve">Interest Income </w:t>
      </w:r>
    </w:p>
    <w:p>
      <w:pPr>
        <w:pStyle w:val="A0"/>
        <w:rPr>
          <w:rFonts w:ascii="Times New Roman" w:hAnsi="Times New Roman" w:cs="Times New Roman"/>
        </w:rPr>
      </w:pPr>
      <w:r>
        <w:rPr>
          <w:rFonts w:cs="Times New Roman" w:ascii="Times New Roman" w:hAnsi="Times New Roman"/>
        </w:rPr>
        <w:t>Interest income on cash balances, based on 25% of annual EBITDA (less Amortization of Power Contract), has been included in the revenues.  The model assumes an interest rate of 5% per annum.</w:t>
      </w:r>
    </w:p>
    <w:p>
      <w:pPr>
        <w:pStyle w:val="Sub0n"/>
        <w:tabs>
          <w:tab w:val="clear" w:pos="720"/>
          <w:tab w:val="left" w:pos="1440" w:leader="none"/>
        </w:tabs>
        <w:ind w:hanging="720" w:start="1440" w:end="0"/>
        <w:rPr>
          <w:rFonts w:ascii="Times New Roman" w:hAnsi="Times New Roman" w:cs="Times New Roman"/>
        </w:rPr>
      </w:pPr>
      <w:r>
        <w:rPr>
          <w:rFonts w:cs="Times New Roman" w:ascii="Times New Roman" w:hAnsi="Times New Roman"/>
        </w:rPr>
        <w:t>C.</w:t>
        <w:tab/>
        <w:t>Operating Costs Assumptions</w:t>
      </w:r>
    </w:p>
    <w:p>
      <w:pPr>
        <w:pStyle w:val="A0b"/>
        <w:numPr>
          <w:ilvl w:val="0"/>
          <w:numId w:val="23"/>
        </w:numPr>
        <w:tabs>
          <w:tab w:val="clear" w:pos="720"/>
          <w:tab w:val="left" w:pos="1710" w:leader="none"/>
        </w:tabs>
        <w:ind w:hanging="360" w:start="1800" w:end="0"/>
        <w:rPr>
          <w:rFonts w:ascii="Times New Roman" w:hAnsi="Times New Roman" w:cs="Times New Roman"/>
          <w:b/>
        </w:rPr>
      </w:pPr>
      <w:r>
        <w:rPr>
          <w:rFonts w:cs="Times New Roman" w:ascii="Times New Roman" w:hAnsi="Times New Roman"/>
          <w:b/>
        </w:rPr>
        <w:t>Fixed O&amp;M.</w:t>
      </w:r>
      <w:r>
        <w:rPr>
          <w:rFonts w:cs="Times New Roman" w:ascii="Times New Roman" w:hAnsi="Times New Roman"/>
        </w:rPr>
        <w:t xml:space="preserve">  Fixed O&amp;M includes payroll expenses and other fixed O&amp;M expenses. The amount of annual fixed O&amp;M is approximately $5.2 million for the 1999 Plants and $4.2 million for the 2000 Plants ($ 2000).  Both are inflated at 3% per annum.</w:t>
      </w:r>
    </w:p>
    <w:p>
      <w:pPr>
        <w:pStyle w:val="A0b"/>
        <w:numPr>
          <w:ilvl w:val="0"/>
          <w:numId w:val="2"/>
        </w:numPr>
        <w:tabs>
          <w:tab w:val="clear" w:pos="720"/>
          <w:tab w:val="left" w:pos="1710" w:leader="none"/>
        </w:tabs>
        <w:ind w:hanging="360" w:start="1800" w:end="0"/>
        <w:rPr>
          <w:rFonts w:ascii="Times New Roman" w:hAnsi="Times New Roman" w:cs="Times New Roman"/>
          <w:i/>
          <w:i/>
        </w:rPr>
      </w:pPr>
      <w:r>
        <w:rPr>
          <w:rFonts w:cs="Times New Roman" w:ascii="Times New Roman" w:hAnsi="Times New Roman"/>
          <w:b/>
        </w:rPr>
        <w:t>Variable O&amp;M.</w:t>
      </w:r>
      <w:r>
        <w:rPr>
          <w:rFonts w:cs="Times New Roman" w:ascii="Times New Roman" w:hAnsi="Times New Roman"/>
        </w:rPr>
        <w:t xml:space="preserve">  Variable O&amp;M expenses include water costs and variable maintenance expenditures, and are calculated as follows:</w:t>
      </w:r>
    </w:p>
    <w:p>
      <w:pPr>
        <w:pStyle w:val="A0b"/>
        <w:numPr>
          <w:ilvl w:val="0"/>
          <w:numId w:val="0"/>
        </w:numPr>
        <w:ind w:firstLine="720" w:start="1440" w:end="0"/>
        <w:rPr/>
      </w:pPr>
      <w:r>
        <w:rPr>
          <w:rFonts w:cs="Times New Roman" w:ascii="Times New Roman" w:hAnsi="Times New Roman"/>
        </w:rPr>
        <w:t xml:space="preserve">Variable O&amp;M = </w:t>
      </w:r>
      <w:r>
        <w:rPr>
          <w:rFonts w:cs="Times New Roman" w:ascii="Times New Roman" w:hAnsi="Times New Roman"/>
          <w:i/>
        </w:rPr>
        <w:t xml:space="preserve">Variable O&amp;M Rate </w:t>
      </w:r>
      <w:r>
        <w:rPr>
          <w:rFonts w:cs="Times New Roman" w:ascii="Times New Roman" w:hAnsi="Times New Roman"/>
        </w:rPr>
        <w:t xml:space="preserve">x </w:t>
      </w:r>
      <w:r>
        <w:rPr>
          <w:rFonts w:cs="Times New Roman" w:ascii="Times New Roman" w:hAnsi="Times New Roman"/>
          <w:i/>
        </w:rPr>
        <w:t>Annual Generation</w:t>
      </w:r>
    </w:p>
    <w:p>
      <w:pPr>
        <w:pStyle w:val="A0"/>
        <w:spacing w:before="120" w:after="0"/>
        <w:ind w:start="1800" w:end="0"/>
        <w:rPr>
          <w:rFonts w:ascii="Times New Roman" w:hAnsi="Times New Roman" w:cs="Times New Roman"/>
        </w:rPr>
      </w:pPr>
      <w:r>
        <w:rPr>
          <w:rFonts w:cs="Times New Roman" w:ascii="Times New Roman" w:hAnsi="Times New Roman"/>
        </w:rPr>
        <w:t>Variable O&amp;M per unit is inflated at 3% per annum.</w:t>
      </w:r>
    </w:p>
    <w:p>
      <w:pPr>
        <w:pStyle w:val="A0"/>
        <w:numPr>
          <w:ilvl w:val="0"/>
          <w:numId w:val="8"/>
        </w:numPr>
        <w:tabs>
          <w:tab w:val="clear" w:pos="720"/>
          <w:tab w:val="left" w:pos="1710" w:leader="none"/>
        </w:tabs>
        <w:spacing w:before="120" w:after="0"/>
        <w:ind w:hanging="360" w:start="1800" w:end="0"/>
        <w:rPr>
          <w:rFonts w:ascii="Times New Roman" w:hAnsi="Times New Roman" w:cs="Times New Roman"/>
          <w:b/>
        </w:rPr>
      </w:pPr>
      <w:r>
        <w:rPr>
          <w:rFonts w:cs="Times New Roman" w:ascii="Times New Roman" w:hAnsi="Times New Roman"/>
          <w:b/>
        </w:rPr>
        <w:t xml:space="preserve">Major Maintenance.  </w:t>
      </w:r>
      <w:r>
        <w:rPr>
          <w:rFonts w:cs="Times New Roman" w:ascii="Times New Roman" w:hAnsi="Times New Roman"/>
        </w:rPr>
        <w:t>The model assumes an annual major maintenance expense of approximately $1.35 million for the 1999 Plants and $1.39 million for the 2000 Plants ($ 2000), assuming 75 starts/year.  Major maintenance expenditures are inflated at 3% per annum.</w:t>
      </w:r>
    </w:p>
    <w:p>
      <w:pPr>
        <w:pStyle w:val="A0b"/>
        <w:numPr>
          <w:ilvl w:val="0"/>
          <w:numId w:val="13"/>
        </w:numPr>
        <w:tabs>
          <w:tab w:val="clear" w:pos="720"/>
          <w:tab w:val="left" w:pos="1710" w:leader="none"/>
        </w:tabs>
        <w:ind w:hanging="360" w:start="1800" w:end="0"/>
        <w:rPr>
          <w:rFonts w:ascii="Times New Roman" w:hAnsi="Times New Roman" w:cs="Times New Roman"/>
          <w:b/>
        </w:rPr>
      </w:pPr>
      <w:r>
        <w:rPr>
          <w:rFonts w:cs="Times New Roman" w:ascii="Times New Roman" w:hAnsi="Times New Roman"/>
          <w:b/>
        </w:rPr>
        <w:t>Owner’s Expense.</w:t>
      </w:r>
      <w:r>
        <w:rPr>
          <w:rFonts w:cs="Times New Roman" w:ascii="Times New Roman" w:hAnsi="Times New Roman"/>
        </w:rPr>
        <w:t xml:space="preserve">  The Owner’s Expense includes Insurance, Utilities, Interconnection Fees, Gas Pipeline Metering Cost and Miscellaneous Expenses.  The amount of the Owner’s Expense is estimated at $1.2 million for the 1999 Plants and $1.1 million for the 2000 Plants.</w:t>
      </w:r>
    </w:p>
    <w:p>
      <w:pPr>
        <w:pStyle w:val="A0b"/>
        <w:numPr>
          <w:ilvl w:val="0"/>
          <w:numId w:val="16"/>
        </w:numPr>
        <w:tabs>
          <w:tab w:val="clear" w:pos="720"/>
          <w:tab w:val="left" w:pos="1710" w:leader="none"/>
        </w:tabs>
        <w:spacing w:before="100" w:after="0"/>
        <w:ind w:hanging="360" w:start="1800" w:end="0"/>
        <w:rPr>
          <w:rFonts w:ascii="Times New Roman" w:hAnsi="Times New Roman" w:cs="Times New Roman"/>
        </w:rPr>
      </w:pPr>
      <w:r>
        <w:rPr>
          <w:rFonts w:cs="Times New Roman" w:ascii="Times New Roman" w:hAnsi="Times New Roman"/>
          <w:b/>
        </w:rPr>
        <w:t>Property Taxes.</w:t>
      </w:r>
      <w:r>
        <w:rPr>
          <w:rFonts w:cs="Times New Roman" w:ascii="Times New Roman" w:hAnsi="Times New Roman"/>
        </w:rPr>
        <w:t xml:space="preserve">  The amount of the property taxes is estimated at $1.3 million for the 1999 Plants and $0.6 million for the 2000 Plants ($ 2000).  Property taxes vary based on abatement programs and other local issues.  Property taxes are not escalated annually.</w:t>
      </w:r>
    </w:p>
    <w:p>
      <w:pPr>
        <w:pStyle w:val="A0b"/>
        <w:numPr>
          <w:ilvl w:val="0"/>
          <w:numId w:val="16"/>
        </w:numPr>
        <w:tabs>
          <w:tab w:val="clear" w:pos="720"/>
          <w:tab w:val="left" w:pos="1710" w:leader="none"/>
          <w:tab w:val="left" w:pos="3600" w:leader="none"/>
        </w:tabs>
        <w:spacing w:before="100" w:after="0"/>
        <w:ind w:hanging="360" w:start="1800" w:end="0"/>
        <w:rPr>
          <w:rFonts w:ascii="Times New Roman" w:hAnsi="Times New Roman" w:cs="Times New Roman"/>
          <w:color w:val="000000"/>
          <w:lang w:eastAsia="en-US"/>
        </w:rPr>
      </w:pPr>
      <w:r>
        <w:rPr>
          <w:rFonts w:cs="Times New Roman" w:ascii="Times New Roman" w:hAnsi="Times New Roman"/>
          <w:b/>
        </w:rPr>
        <w:t>Franchise Tax</w:t>
      </w:r>
      <w:r>
        <w:rPr>
          <w:rFonts w:cs="Times New Roman" w:ascii="Times New Roman" w:hAnsi="Times New Roman"/>
        </w:rPr>
        <w:t xml:space="preserve">. Franchise Tax is calculated for Brownsville, Gleason, New Albany, Caledonia and Wilton.  </w:t>
      </w:r>
      <w:r>
        <w:rPr>
          <w:rFonts w:cs="Times New Roman" w:ascii="Times New Roman" w:hAnsi="Times New Roman"/>
          <w:lang w:eastAsia="en-US"/>
        </w:rPr>
        <w:t xml:space="preserve">For Brownsville and Gleason, Tennessee imposes a .25% tax on the higher of (1) capital stock less treasury stock or stock held in other Tennessee corporations, retained earnings, indebtedness to, or guaranteed by, affiliated corporations and all reserves that do not represent legal liabilities, or, (2) the cost of all property owned less book (GAAP) accumulated depreciation.  For New Albany and Caledonia, Mississippi imposes a .25% tax on corporation capital employed in Mississippi.  The measure of capital includes stock, paid-in-capital, surplus and retained earnings less certain reserves.  For Wilton, </w:t>
      </w:r>
      <w:r>
        <w:rPr>
          <w:rFonts w:cs="Times New Roman" w:ascii="Times New Roman" w:hAnsi="Times New Roman"/>
          <w:color w:val="000000"/>
          <w:lang w:eastAsia="en-US"/>
        </w:rPr>
        <w:t>Illinois imposes a franchise tax, which is the product of the computed paid-in capital multiplied by a .15% (drops to .10% after first year) rate.  The computed paid-in capital is comprised of consideration paid for stock, any other consideration contributed to the corporations by a shareholder and any amounts added or transferred to paid-in capital by the board of directors.</w:t>
      </w:r>
    </w:p>
    <w:p>
      <w:pPr>
        <w:pStyle w:val="A0b"/>
        <w:numPr>
          <w:ilvl w:val="0"/>
          <w:numId w:val="16"/>
        </w:numPr>
        <w:tabs>
          <w:tab w:val="clear" w:pos="720"/>
          <w:tab w:val="left" w:pos="1710" w:leader="none"/>
        </w:tabs>
        <w:spacing w:before="100" w:after="0"/>
        <w:ind w:hanging="360" w:start="1800" w:end="0"/>
        <w:rPr>
          <w:rFonts w:ascii="Times New Roman" w:hAnsi="Times New Roman" w:cs="Times New Roman"/>
          <w:color w:val="000000"/>
          <w:lang w:eastAsia="en-US"/>
        </w:rPr>
      </w:pPr>
      <w:r>
        <w:rPr>
          <w:rFonts w:cs="Times New Roman" w:ascii="Times New Roman" w:hAnsi="Times New Roman"/>
          <w:b/>
          <w:lang w:eastAsia="en-US"/>
        </w:rPr>
        <w:t>Wheatland Adjusted Gross Income Tax and Gross Receipts Tax</w:t>
      </w:r>
      <w:r>
        <w:rPr>
          <w:rFonts w:cs="Times New Roman" w:ascii="Times New Roman" w:hAnsi="Times New Roman"/>
          <w:lang w:eastAsia="en-US"/>
        </w:rPr>
        <w:t xml:space="preserve">. </w:t>
      </w:r>
      <w:r>
        <w:rPr>
          <w:rFonts w:cs="Times New Roman" w:ascii="Times New Roman" w:hAnsi="Times New Roman"/>
          <w:color w:val="000000"/>
          <w:lang w:eastAsia="en-US"/>
        </w:rPr>
        <w:t xml:space="preserve">Indiana income is subject to the greater of a 3.4% adjusted gross income tax or a 1.2% gross income tax.  The adjusted gross income tax are based on federal net income, adjusted for specific Indiana additions and subtractions.  The gross income tax base is total gross receipts, without any deductions for expenses or related cost.      </w:t>
      </w:r>
    </w:p>
    <w:p>
      <w:pPr>
        <w:pStyle w:val="Sub0n"/>
        <w:ind w:hanging="720" w:start="14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w:t>
        <w:tab/>
        <w:t>Accounting and Tax Assumptions</w:t>
      </w:r>
    </w:p>
    <w:p>
      <w:pPr>
        <w:pStyle w:val="A0b"/>
        <w:numPr>
          <w:ilvl w:val="0"/>
          <w:numId w:val="7"/>
        </w:numPr>
        <w:tabs>
          <w:tab w:val="clear" w:pos="720"/>
          <w:tab w:val="left" w:pos="1800" w:leader="none"/>
          <w:tab w:val="left" w:pos="3600" w:leader="none"/>
        </w:tabs>
        <w:ind w:hanging="360" w:start="1800" w:end="0"/>
        <w:rPr>
          <w:rFonts w:ascii="Times New Roman" w:hAnsi="Times New Roman" w:cs="Times New Roman"/>
        </w:rPr>
      </w:pPr>
      <w:r>
        <w:rPr>
          <w:rFonts w:cs="Times New Roman" w:ascii="Times New Roman" w:hAnsi="Times New Roman"/>
          <w:b/>
        </w:rPr>
        <w:t>Depreciation and Amortization</w:t>
      </w:r>
      <w:r>
        <w:rPr>
          <w:rFonts w:cs="Times New Roman" w:ascii="Times New Roman" w:hAnsi="Times New Roman"/>
        </w:rPr>
        <w:t xml:space="preserve">.  The 1999 and 2000 Project Costs are depreciated based on a 15-year MACRS depreciation schedule for the calculation of cash taxes.  The 1999 and 2000 Project Costs, and Power Contract Liability are depreciated over a 30-year straight-line schedule, with a residual value for the assets of 10%. </w:t>
      </w:r>
    </w:p>
    <w:p>
      <w:pPr>
        <w:pStyle w:val="A0b"/>
        <w:numPr>
          <w:ilvl w:val="0"/>
          <w:numId w:val="34"/>
        </w:numPr>
        <w:ind w:hanging="360" w:start="1800" w:end="0"/>
        <w:rPr>
          <w:rFonts w:ascii="Times New Roman" w:hAnsi="Times New Roman" w:cs="Times New Roman"/>
        </w:rPr>
      </w:pPr>
      <w:r>
        <w:rPr>
          <w:rFonts w:cs="Times New Roman" w:ascii="Times New Roman" w:hAnsi="Times New Roman"/>
          <w:b/>
        </w:rPr>
        <w:t>Income Taxes</w:t>
      </w:r>
      <w:r>
        <w:rPr>
          <w:rFonts w:cs="Times New Roman" w:ascii="Times New Roman" w:hAnsi="Times New Roman"/>
        </w:rPr>
        <w:t>.  Federal tax and State income tax benefits from the Plants are calculated assuming utilization on a carry forward basis at the holding company level.  The applicable local state income tax rates are listed in the Key Inputs table.</w:t>
      </w:r>
    </w:p>
    <w:p>
      <w:pPr>
        <w:pStyle w:val="Normal"/>
        <w:ind w:hanging="540" w:start="540" w:end="0"/>
        <w:rPr>
          <w:rFonts w:ascii="Times New Roman" w:hAnsi="Times New Roman" w:cs="Times New Roman"/>
          <w:b/>
          <w:color w:val="000000"/>
          <w:sz w:val="28"/>
          <w:lang w:eastAsia="en-US"/>
        </w:rPr>
      </w:pPr>
      <w:r>
        <w:rPr>
          <w:rFonts w:cs="Times New Roman"/>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28"/>
          <w:lang w:eastAsia="en-US"/>
        </w:rPr>
      </w:pPr>
      <w:r>
        <w:rPr>
          <w:b/>
          <w:color w:val="000000"/>
          <w:sz w:val="28"/>
          <w:lang w:eastAsia="en-US"/>
        </w:rPr>
      </w:r>
    </w:p>
    <w:p>
      <w:pPr>
        <w:pStyle w:val="Normal"/>
        <w:ind w:hanging="540" w:start="540" w:end="0"/>
        <w:rPr>
          <w:b/>
          <w:color w:val="000000"/>
          <w:sz w:val="36"/>
          <w:lang w:eastAsia="en-US"/>
        </w:rPr>
      </w:pPr>
      <w:r>
        <w:rPr>
          <w:b/>
          <w:color w:val="000000"/>
          <w:sz w:val="36"/>
          <w:lang w:eastAsia="en-US"/>
        </w:rPr>
        <w:t>3-b.</w:t>
        <w:tab/>
        <w:t xml:space="preserve"> </w:t>
      </w:r>
      <w:r>
        <w:rPr>
          <w:b/>
          <w:sz w:val="36"/>
          <w:lang w:eastAsia="en-US"/>
        </w:rPr>
        <w:t>Financial Model</w:t>
      </w:r>
    </w:p>
    <w:p>
      <w:pPr>
        <w:pStyle w:val="Normal"/>
        <w:rPr>
          <w:b/>
          <w:color w:val="000000"/>
          <w:sz w:val="24"/>
          <w:lang w:eastAsia="en-US"/>
        </w:rPr>
      </w:pPr>
      <w:r>
        <w:rPr>
          <w:b/>
          <w:color w:val="000000"/>
          <w:sz w:val="24"/>
          <w:lang w:eastAsia="en-US"/>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start="720" w:end="0"/>
        <w:rPr>
          <w:b/>
          <w:color w:val="000000"/>
          <w:sz w:val="40"/>
          <w:lang w:eastAsia="en-US"/>
        </w:rPr>
      </w:pPr>
      <w:r>
        <w:rPr>
          <w:b/>
          <w:color w:val="000000"/>
          <w:sz w:val="40"/>
          <w:lang w:eastAsia="en-US"/>
        </w:rPr>
      </w:r>
    </w:p>
    <w:p>
      <w:pPr>
        <w:pStyle w:val="Normal"/>
        <w:ind w:start="720" w:end="0"/>
        <w:rPr>
          <w:b/>
          <w:color w:val="000000"/>
          <w:sz w:val="40"/>
          <w:lang w:eastAsia="en-US"/>
        </w:rPr>
      </w:pPr>
      <w:r>
        <w:rPr>
          <w:b/>
          <w:color w:val="000000"/>
          <w:sz w:val="40"/>
          <w:lang w:eastAsia="en-US"/>
        </w:rPr>
      </w:r>
    </w:p>
    <w:p>
      <w:pPr>
        <w:pStyle w:val="BodyText3"/>
        <w:ind w:hanging="720" w:start="1440" w:end="0"/>
        <w:rPr>
          <w:b w:val="false"/>
          <w:color w:val="000000"/>
          <w:sz w:val="40"/>
          <w:lang w:eastAsia="en-US"/>
        </w:rPr>
      </w:pPr>
      <w:r>
        <w:rPr>
          <w:b w:val="false"/>
          <w:color w:val="000000"/>
          <w:sz w:val="40"/>
          <w:lang w:eastAsia="en-US"/>
        </w:rPr>
      </w:r>
    </w:p>
    <w:p>
      <w:pPr>
        <w:pStyle w:val="BodyText3"/>
        <w:ind w:hanging="720" w:start="1440" w:end="0"/>
        <w:rPr/>
      </w:pPr>
      <w:r>
        <w:rPr/>
      </w:r>
    </w:p>
    <w:p>
      <w:pPr>
        <w:pStyle w:val="BodyText3"/>
        <w:ind w:hanging="720" w:start="1440" w:end="0"/>
        <w:rPr/>
      </w:pPr>
      <w:r>
        <w:rPr/>
      </w:r>
    </w:p>
    <w:p>
      <w:pPr>
        <w:pStyle w:val="BodyText3"/>
        <w:ind w:hanging="720" w:start="1440" w:end="0"/>
        <w:rPr/>
      </w:pPr>
      <w:r>
        <w:rPr/>
      </w:r>
    </w:p>
    <w:p>
      <w:pPr>
        <w:pStyle w:val="BodyText3"/>
        <w:ind w:hanging="720" w:start="1440" w:end="0"/>
        <w:rPr/>
      </w:pPr>
      <w:r>
        <w:rPr/>
      </w:r>
    </w:p>
    <w:p>
      <w:pPr>
        <w:pStyle w:val="BodyText3"/>
        <w:ind w:hanging="720" w:start="1440" w:end="0"/>
        <w:rPr/>
      </w:pPr>
      <w:r>
        <w:rPr/>
      </w:r>
    </w:p>
    <w:p>
      <w:pPr>
        <w:pStyle w:val="BodyText3"/>
        <w:ind w:hanging="720" w:start="1440" w:end="0"/>
        <w:rPr/>
      </w:pPr>
      <w:r>
        <w:rPr/>
      </w:r>
    </w:p>
    <w:p>
      <w:pPr>
        <w:pStyle w:val="BodyText3"/>
        <w:ind w:hanging="720" w:start="1440" w:end="0"/>
        <w:rPr/>
      </w:pPr>
      <w:r>
        <w:rPr/>
      </w:r>
    </w:p>
    <w:p>
      <w:pPr>
        <w:pStyle w:val="BodyText3"/>
        <w:ind w:hanging="720" w:start="1440" w:end="0"/>
        <w:rPr/>
      </w:pPr>
      <w:r>
        <w:rPr/>
      </w:r>
    </w:p>
    <w:p>
      <w:pPr>
        <w:pStyle w:val="BodyText3"/>
        <w:ind w:hanging="720" w:start="1440" w:end="0"/>
        <w:rPr/>
      </w:pPr>
      <w:r>
        <w:rPr/>
      </w:r>
    </w:p>
    <w:p>
      <w:pPr>
        <w:pStyle w:val="BodyText3"/>
        <w:ind w:hanging="720" w:start="1440" w:end="0"/>
        <w:rPr/>
      </w:pPr>
      <w:r>
        <w:rPr/>
        <w:t>4.</w:t>
        <w:tab/>
        <w:t>S&amp;P’s Write-up of Enron Generation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ENRON GENERATION COMPANY, LLC</w:t>
      </w:r>
    </w:p>
    <w:p>
      <w:pPr>
        <w:pStyle w:val="Normal"/>
        <w:rPr/>
      </w:pPr>
      <w:r>
        <w:rPr/>
      </w:r>
    </w:p>
    <w:p>
      <w:pPr>
        <w:pStyle w:val="Normal"/>
        <w:rPr>
          <w:sz w:val="22"/>
        </w:rPr>
      </w:pPr>
      <w:r>
        <w:rPr>
          <w:sz w:val="22"/>
        </w:rPr>
        <w:t>Analysts: Jeffrey Wolinsky, CFA, New York (1) 212-438-2117</w:t>
      </w:r>
    </w:p>
    <w:p>
      <w:pPr>
        <w:pStyle w:val="Normal"/>
        <w:ind w:start="720" w:end="0"/>
        <w:rPr>
          <w:sz w:val="22"/>
        </w:rPr>
      </w:pPr>
      <w:r>
        <w:rPr>
          <w:sz w:val="22"/>
        </w:rPr>
        <w:t xml:space="preserve">   </w:t>
      </w:r>
      <w:r>
        <w:rPr>
          <w:sz w:val="22"/>
        </w:rPr>
        <w:t>Peter Rigby, New York (1) 212-438-2085</w:t>
      </w:r>
    </w:p>
    <w:p>
      <w:pPr>
        <w:pStyle w:val="Normal"/>
        <w:rPr>
          <w:sz w:val="22"/>
        </w:rPr>
      </w:pPr>
      <w:r>
        <w:rPr>
          <w:sz w:val="22"/>
        </w:rPr>
      </w:r>
    </w:p>
    <w:p>
      <w:pPr>
        <w:pStyle w:val="Normal"/>
        <w:rPr/>
      </w:pPr>
      <w:r>
        <w:rPr>
          <w:b/>
          <w:sz w:val="22"/>
        </w:rPr>
        <w:t>RATING ASSIGNED:</w:t>
        <w:tab/>
      </w:r>
      <w:r>
        <w:rPr>
          <w:sz w:val="22"/>
        </w:rPr>
        <w:t>BB+ (Confidential)</w:t>
      </w:r>
    </w:p>
    <w:p>
      <w:pPr>
        <w:pStyle w:val="Normal"/>
        <w:rPr>
          <w:sz w:val="22"/>
        </w:rPr>
      </w:pPr>
      <w:r>
        <w:rPr>
          <w:sz w:val="22"/>
        </w:rPr>
      </w:r>
    </w:p>
    <w:p>
      <w:pPr>
        <w:pStyle w:val="Normal"/>
        <w:rPr/>
      </w:pPr>
      <w:r>
        <w:rPr>
          <w:b/>
          <w:sz w:val="22"/>
        </w:rPr>
        <w:t>DATE:</w:t>
      </w:r>
      <w:r>
        <w:rPr>
          <w:sz w:val="22"/>
        </w:rPr>
        <w:tab/>
        <w:tab/>
        <w:tab/>
        <w:t>November 3, 1999</w:t>
      </w:r>
    </w:p>
    <w:p>
      <w:pPr>
        <w:pStyle w:val="Normal"/>
        <w:rPr>
          <w:sz w:val="22"/>
        </w:rPr>
      </w:pPr>
      <w:r>
        <w:rPr>
          <w:sz w:val="22"/>
        </w:rPr>
      </w:r>
    </w:p>
    <w:p>
      <w:pPr>
        <w:pStyle w:val="Normal"/>
        <w:rPr/>
      </w:pPr>
      <w:r>
        <w:rPr>
          <w:b/>
          <w:sz w:val="22"/>
        </w:rPr>
        <w:t>OUTLOOK:</w:t>
        <w:tab/>
        <w:tab/>
      </w:r>
      <w:r>
        <w:rPr>
          <w:sz w:val="22"/>
        </w:rPr>
        <w:t>STABLE</w:t>
      </w:r>
    </w:p>
    <w:p>
      <w:pPr>
        <w:pStyle w:val="Normal"/>
        <w:rPr>
          <w:sz w:val="22"/>
        </w:rPr>
      </w:pPr>
      <w:r>
        <w:rPr>
          <w:sz w:val="22"/>
        </w:rPr>
      </w:r>
    </w:p>
    <w:p>
      <w:pPr>
        <w:pStyle w:val="Normal"/>
        <w:rPr>
          <w:sz w:val="22"/>
        </w:rPr>
      </w:pPr>
      <w:r>
        <w:rPr>
          <w:sz w:val="22"/>
        </w:rPr>
        <w:tab/>
        <w:tab/>
        <w:tab/>
        <w:t xml:space="preserve">  $775 million senior secured bonds to be issued in three tranches:</w:t>
      </w:r>
    </w:p>
    <w:p>
      <w:pPr>
        <w:pStyle w:val="Normal"/>
        <w:rPr>
          <w:sz w:val="22"/>
        </w:rPr>
      </w:pPr>
      <w:r>
        <w:rPr>
          <w:sz w:val="22"/>
        </w:rPr>
        <w:tab/>
        <w:tab/>
        <w:tab/>
        <w:t xml:space="preserve">  $100 million Tranche A bonds maturing in 2003</w:t>
      </w:r>
    </w:p>
    <w:p>
      <w:pPr>
        <w:pStyle w:val="Normal"/>
        <w:rPr>
          <w:sz w:val="22"/>
        </w:rPr>
      </w:pPr>
      <w:r>
        <w:rPr>
          <w:sz w:val="22"/>
        </w:rPr>
        <w:tab/>
        <w:tab/>
        <w:tab/>
        <w:t xml:space="preserve">  $200 million Tranche B bonds maturing in 2009</w:t>
      </w:r>
    </w:p>
    <w:p>
      <w:pPr>
        <w:pStyle w:val="Normal"/>
        <w:rPr>
          <w:sz w:val="22"/>
        </w:rPr>
      </w:pPr>
      <w:r>
        <w:rPr>
          <w:sz w:val="22"/>
        </w:rPr>
        <w:tab/>
        <w:tab/>
        <w:tab/>
        <w:t xml:space="preserve">  $475 million Tranche C bonds maturing in 2019</w:t>
      </w:r>
    </w:p>
    <w:p>
      <w:pPr>
        <w:pStyle w:val="Normal"/>
        <w:rPr>
          <w:sz w:val="22"/>
          <w:lang w:val="en-CA"/>
        </w:rPr>
      </w:pPr>
      <w:r>
        <w:rPr>
          <w:sz w:val="22"/>
          <w:lang w:val="en-CA"/>
        </w:rPr>
        <mc:AlternateContent>
          <mc:Choice Requires="wps">
            <w:drawing>
              <wp:anchor behindDoc="0" distT="0" distB="0" distL="114935" distR="114935" simplePos="0" locked="0" layoutInCell="1" allowOverlap="1" relativeHeight="42">
                <wp:simplePos x="0" y="0"/>
                <wp:positionH relativeFrom="column">
                  <wp:posOffset>-45720</wp:posOffset>
                </wp:positionH>
                <wp:positionV relativeFrom="paragraph">
                  <wp:posOffset>113030</wp:posOffset>
                </wp:positionV>
                <wp:extent cx="5486400" cy="0"/>
                <wp:effectExtent l="0" t="14605" r="0" b="14605"/>
                <wp:wrapNone/>
                <wp:docPr id="17" name=""/>
                <a:graphic xmlns:a="http://schemas.openxmlformats.org/drawingml/2006/main">
                  <a:graphicData uri="http://schemas.microsoft.com/office/word/2010/wordprocessingShape">
                    <wps:wsp>
                      <wps:cNvSpPr/>
                      <wps:spPr>
                        <a:xfrm>
                          <a:off x="0" y="0"/>
                          <a:ext cx="54864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3.6pt,8.9pt" to="428.35pt,8.9pt" stroked="t" o:allowincell="f" style="position:absolute">
                <v:stroke color="black" weight="28440" joinstyle="miter" endcap="flat"/>
                <v:fill o:detectmouseclick="t" on="false"/>
                <w10:wrap type="none"/>
              </v:line>
            </w:pict>
          </mc:Fallback>
        </mc:AlternateContent>
      </w:r>
    </w:p>
    <w:p>
      <w:pPr>
        <w:pStyle w:val="Normal"/>
        <w:rPr>
          <w:sz w:val="22"/>
        </w:rPr>
      </w:pPr>
      <w:r>
        <w:rPr>
          <w:sz w:val="22"/>
        </w:rPr>
      </w:r>
    </w:p>
    <w:p>
      <w:pPr>
        <w:pStyle w:val="Normal"/>
        <w:rPr>
          <w:b/>
          <w:sz w:val="22"/>
        </w:rPr>
      </w:pPr>
      <w:r>
        <w:rPr>
          <w:b/>
          <w:sz w:val="22"/>
        </w:rPr>
        <w:t>RATIONALE:</w:t>
      </w:r>
    </w:p>
    <w:p>
      <w:pPr>
        <w:pStyle w:val="Normal"/>
        <w:rPr>
          <w:b/>
          <w:sz w:val="22"/>
        </w:rPr>
      </w:pPr>
      <w:r>
        <w:rPr>
          <w:b/>
          <w:sz w:val="22"/>
        </w:rPr>
      </w:r>
    </w:p>
    <w:p>
      <w:pPr>
        <w:pStyle w:val="Normal"/>
        <w:rPr>
          <w:sz w:val="22"/>
        </w:rPr>
      </w:pPr>
      <w:r>
        <w:rPr>
          <w:sz w:val="22"/>
        </w:rPr>
        <w:t>Standard &amp; Poor’s assigned a BB+ rating (Confidential) to Enron Generation Company, LLC’s (EGC), $775 million senior secured bonds.  EGC owns a 99% limited partnership interest in six natural gas-fired simple-cycle power plants, with a capability of 3,159 MW located in Tennessee, Mississippi, Kentucky, Indiana and Illinois.  About half of the facilities are in commercial operation and the other half are expected to be in service by July 2000.  The rating reflects the following risks:</w:t>
      </w:r>
    </w:p>
    <w:p>
      <w:pPr>
        <w:pStyle w:val="Normal"/>
        <w:rPr>
          <w:sz w:val="22"/>
        </w:rPr>
      </w:pPr>
      <w:r>
        <w:rPr>
          <w:sz w:val="22"/>
        </w:rPr>
      </w:r>
    </w:p>
    <w:p>
      <w:pPr>
        <w:pStyle w:val="Normal"/>
        <w:numPr>
          <w:ilvl w:val="0"/>
          <w:numId w:val="33"/>
        </w:numPr>
        <w:rPr>
          <w:i/>
          <w:i/>
          <w:sz w:val="22"/>
        </w:rPr>
      </w:pPr>
      <w:r>
        <w:rPr>
          <w:sz w:val="22"/>
        </w:rPr>
        <w:t>Merchant risk under the power purchase agreement (PPA) during the market price period (2004-2019).  Because the facilities are defined as peaking facilities, they rely on capacity revenues for cash flow stability.  Average prices for capacity are expected to be much more volatile than average prices for electricity.</w:t>
      </w:r>
    </w:p>
    <w:p>
      <w:pPr>
        <w:pStyle w:val="Normal"/>
        <w:numPr>
          <w:ilvl w:val="0"/>
          <w:numId w:val="33"/>
        </w:numPr>
        <w:rPr>
          <w:i/>
          <w:i/>
          <w:sz w:val="22"/>
        </w:rPr>
      </w:pPr>
      <w:r>
        <w:rPr>
          <w:sz w:val="22"/>
        </w:rPr>
        <w:t>The inability of the project to enter into sales agreements during the market price period in excess of five years.  Short-term sales agreements increase cash flow volatility and increase risk for bondholders.</w:t>
      </w:r>
    </w:p>
    <w:p>
      <w:pPr>
        <w:pStyle w:val="Normal"/>
        <w:numPr>
          <w:ilvl w:val="0"/>
          <w:numId w:val="33"/>
        </w:numPr>
        <w:rPr>
          <w:i/>
          <w:i/>
          <w:sz w:val="22"/>
        </w:rPr>
      </w:pPr>
      <w:r>
        <w:rPr>
          <w:sz w:val="22"/>
        </w:rPr>
        <w:t xml:space="preserve">An auction process under the PPA that gives ECT the right, but not the obligation to purchase 70% of any block of power at the auction price.  Standard &amp; Poor’s concludes that the value of this option could be reflected through lower bid prices.  </w:t>
      </w:r>
    </w:p>
    <w:p>
      <w:pPr>
        <w:pStyle w:val="Normal"/>
        <w:numPr>
          <w:ilvl w:val="0"/>
          <w:numId w:val="33"/>
        </w:numPr>
        <w:rPr>
          <w:i/>
          <w:i/>
          <w:sz w:val="22"/>
        </w:rPr>
      </w:pPr>
      <w:r>
        <w:rPr>
          <w:sz w:val="22"/>
        </w:rPr>
        <w:t>A moderate amount of technology risk.  The turbines range from commercially proven models with significant operating history to new models with limited or no commercial history.  The mix also includes modified older turbine models with limited commercial history for the modifications.</w:t>
      </w:r>
    </w:p>
    <w:p>
      <w:pPr>
        <w:pStyle w:val="Normal"/>
        <w:rPr>
          <w:i/>
          <w:i/>
          <w:sz w:val="22"/>
        </w:rPr>
      </w:pPr>
      <w:r>
        <w:rPr>
          <w:i/>
          <w:sz w:val="22"/>
        </w:rPr>
      </w:r>
    </w:p>
    <w:p>
      <w:pPr>
        <w:pStyle w:val="Normal"/>
        <w:rPr>
          <w:sz w:val="22"/>
        </w:rPr>
      </w:pPr>
      <w:r>
        <w:rPr>
          <w:sz w:val="22"/>
        </w:rPr>
      </w:r>
    </w:p>
    <w:p>
      <w:pPr>
        <w:pStyle w:val="Normal"/>
        <w:rPr>
          <w:sz w:val="22"/>
        </w:rPr>
      </w:pPr>
      <w:r>
        <w:rPr>
          <w:sz w:val="22"/>
        </w:rPr>
        <w:t>The following strengths offset the risks at the BB+ level:</w:t>
      </w:r>
    </w:p>
    <w:p>
      <w:pPr>
        <w:pStyle w:val="Normal"/>
        <w:rPr>
          <w:sz w:val="22"/>
        </w:rPr>
      </w:pPr>
      <w:r>
        <w:rPr>
          <w:sz w:val="22"/>
        </w:rPr>
      </w:r>
    </w:p>
    <w:p>
      <w:pPr>
        <w:pStyle w:val="Normal"/>
        <w:numPr>
          <w:ilvl w:val="0"/>
          <w:numId w:val="18"/>
        </w:numPr>
        <w:rPr>
          <w:sz w:val="22"/>
        </w:rPr>
      </w:pPr>
      <w:r>
        <w:rPr>
          <w:sz w:val="22"/>
        </w:rPr>
        <w:t>Substantial liquidity in the form of a 12 month debt service reserve fund during the merchant period and a restrictive covenant package that limits distributions to equity participants.</w:t>
      </w:r>
    </w:p>
    <w:p>
      <w:pPr>
        <w:pStyle w:val="Normal"/>
        <w:numPr>
          <w:ilvl w:val="0"/>
          <w:numId w:val="18"/>
        </w:numPr>
        <w:rPr>
          <w:sz w:val="22"/>
        </w:rPr>
      </w:pPr>
      <w:r>
        <w:rPr>
          <w:sz w:val="22"/>
        </w:rPr>
        <w:t>The flexibility of the plants to deliver power into multiple market areas decreases their susceptibility to isolated regional problems.  The plants are all located on 500kV transmission lines and high pressure gas pipelines, which also mitigates deliverability constraints.</w:t>
      </w:r>
    </w:p>
    <w:p>
      <w:pPr>
        <w:pStyle w:val="Normal"/>
        <w:numPr>
          <w:ilvl w:val="0"/>
          <w:numId w:val="18"/>
        </w:numPr>
        <w:rPr>
          <w:sz w:val="22"/>
        </w:rPr>
      </w:pPr>
      <w:r>
        <w:rPr>
          <w:sz w:val="22"/>
        </w:rPr>
        <w:t>A demonstrated need for peaking capacity in the MAIN, ECAR and TVA market regions.  The combination of declining reserve margins and a disproportionate amount of base load capacity in each region, substantiate a need for peaking load generation in the near-term.</w:t>
      </w:r>
    </w:p>
    <w:p>
      <w:pPr>
        <w:pStyle w:val="Normal"/>
        <w:numPr>
          <w:ilvl w:val="0"/>
          <w:numId w:val="18"/>
        </w:numPr>
        <w:rPr>
          <w:sz w:val="22"/>
        </w:rPr>
      </w:pPr>
      <w:r>
        <w:rPr>
          <w:sz w:val="22"/>
        </w:rPr>
        <w:t>The expertise of Enron as an energy marketer to obtain gas and sell the output of the plant during the merchant period (2004-2019).  Enron is the largest marketer of natural gas and electricity in the US.</w:t>
      </w:r>
    </w:p>
    <w:p>
      <w:pPr>
        <w:pStyle w:val="Normal"/>
        <w:numPr>
          <w:ilvl w:val="0"/>
          <w:numId w:val="18"/>
        </w:numPr>
        <w:rPr>
          <w:sz w:val="22"/>
        </w:rPr>
      </w:pPr>
      <w:r>
        <w:rPr>
          <w:sz w:val="22"/>
        </w:rPr>
        <w:t>Low construction risk.  Some of the 1999 facilities are in operation and all of the facilities are scheduled to be in operation by July 2000.</w:t>
      </w:r>
    </w:p>
    <w:p>
      <w:pPr>
        <w:pStyle w:val="Normal"/>
        <w:rPr>
          <w:sz w:val="22"/>
        </w:rPr>
      </w:pPr>
      <w:r>
        <w:rPr>
          <w:sz w:val="22"/>
        </w:rPr>
      </w:r>
    </w:p>
    <w:p>
      <w:pPr>
        <w:pStyle w:val="Normal"/>
        <w:rPr>
          <w:sz w:val="22"/>
        </w:rPr>
      </w:pPr>
      <w:r>
        <w:rPr>
          <w:sz w:val="22"/>
        </w:rPr>
      </w:r>
    </w:p>
    <w:p>
      <w:pPr>
        <w:pStyle w:val="Heading1"/>
        <w:ind w:hanging="0" w:start="0"/>
        <w:rPr/>
      </w:pPr>
      <w:r>
        <w:rPr/>
        <w:t>Outlook: STABLE</w:t>
      </w:r>
    </w:p>
    <w:p>
      <w:pPr>
        <w:pStyle w:val="Normal"/>
        <w:rPr>
          <w:b/>
        </w:rPr>
      </w:pPr>
      <w:r>
        <w:rPr>
          <w:b/>
        </w:rPr>
      </w:r>
    </w:p>
    <w:p>
      <w:pPr>
        <w:pStyle w:val="Normal"/>
        <w:rPr>
          <w:sz w:val="22"/>
        </w:rPr>
      </w:pPr>
      <w:r>
        <w:rPr>
          <w:sz w:val="22"/>
        </w:rPr>
        <w:t>The Stable outlook reflects the anticipated completion of the projects without significant delays.  The plants are expected to operate in accordance with the guarantees.  The anticipated volatility in revenues in conjunction with the fall-away provision of the debt service reserve fund (DSRF) make an upgrade to investment grade unlikely.  The additional six month debt service reserve fund requirement during the merchant period falls away if EGC has maintained an investment grade rating from Standard &amp; Poor’s for at least 2 years and Standard &amp; Poor’s affirms that the rating will not be downgraded because of the fall away.  Alternatively, a sustained depression in capacity prices during the merchant period could cause a downgrade.</w:t>
      </w:r>
    </w:p>
    <w:p>
      <w:pPr>
        <w:pStyle w:val="Normal"/>
        <w:ind w:start="720" w:end="0"/>
        <w:rPr>
          <w:b/>
          <w:color w:val="000000"/>
          <w:sz w:val="40"/>
          <w:lang w:eastAsia="en-US"/>
        </w:rPr>
      </w:pPr>
      <w:r>
        <w:rPr>
          <w:b/>
          <w:color w:val="000000"/>
          <w:sz w:val="40"/>
          <w:lang w:eastAsia="en-US"/>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872"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old">
    <w:charset w:val="00" w:characterSet="windows-1252"/>
    <w:family w:val="swiss"/>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lang w:eastAsia="en-US"/>
      </w:rPr>
      <w:drawing>
        <wp:anchor behindDoc="1" distT="0" distB="0" distL="114935" distR="114935" simplePos="0" locked="0" layoutInCell="1" allowOverlap="1" relativeHeight="37">
          <wp:simplePos x="0" y="0"/>
          <wp:positionH relativeFrom="column">
            <wp:posOffset>5669280</wp:posOffset>
          </wp:positionH>
          <wp:positionV relativeFrom="paragraph">
            <wp:posOffset>-417195</wp:posOffset>
          </wp:positionV>
          <wp:extent cx="731520" cy="579755"/>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rcRect l="-14487" t="-55" r="-14487" b="-55"/>
                  <a:stretch>
                    <a:fillRect/>
                  </a:stretch>
                </pic:blipFill>
                <pic:spPr bwMode="auto">
                  <a:xfrm>
                    <a:off x="0" y="0"/>
                    <a:ext cx="731520" cy="579755"/>
                  </a:xfrm>
                  <a:prstGeom prst="rect">
                    <a:avLst/>
                  </a:prstGeom>
                  <a:solidFill>
                    <a:srgbClr val="ffffff"/>
                  </a:solidFill>
                </pic:spPr>
              </pic:pic>
            </a:graphicData>
          </a:graphic>
        </wp:anchor>
      </w:drawing>
      <w:t xml:space="preserve">- </w:t>
    </w:r>
    <w:r>
      <w:rPr>
        <w:sz w:val="18"/>
        <w:lang w:eastAsia="en-US"/>
      </w:rPr>
      <w:fldChar w:fldCharType="begin"/>
    </w:r>
    <w:r>
      <w:rPr>
        <w:sz w:val="18"/>
        <w:lang w:eastAsia="en-US"/>
      </w:rPr>
      <w:instrText xml:space="preserve"> PAGE </w:instrText>
    </w:r>
    <w:r>
      <w:rPr>
        <w:sz w:val="18"/>
        <w:lang w:eastAsia="en-US"/>
      </w:rPr>
      <w:fldChar w:fldCharType="separate"/>
    </w:r>
    <w:r>
      <w:rPr>
        <w:sz w:val="18"/>
        <w:lang w:eastAsia="en-US"/>
      </w:rPr>
      <w:t>8</w:t>
    </w:r>
    <w:r>
      <w:rPr>
        <w:sz w:val="18"/>
        <w:lang w:eastAsia="en-US"/>
      </w:rPr>
      <w:fldChar w:fldCharType="end"/>
    </w:r>
    <w:r>
      <w:rPr>
        <w:sz w:val="18"/>
        <w:lang w:eastAsia="en-US"/>
      </w:rPr>
      <mc:AlternateContent>
        <mc:Choice Requires="wps">
          <w:drawing>
            <wp:anchor behindDoc="1" distT="0" distB="0" distL="114935" distR="114935" simplePos="0" locked="0" layoutInCell="0" allowOverlap="1" relativeHeight="22">
              <wp:simplePos x="0" y="0"/>
              <wp:positionH relativeFrom="page">
                <wp:posOffset>1280160</wp:posOffset>
              </wp:positionH>
              <wp:positionV relativeFrom="page">
                <wp:posOffset>9509760</wp:posOffset>
              </wp:positionV>
              <wp:extent cx="5486400" cy="0"/>
              <wp:effectExtent l="0" t="6350" r="0" b="6350"/>
              <wp:wrapNone/>
              <wp:docPr id="6"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748.8pt" to="532.75pt,748.8pt" stroked="t" o:allowincell="f" style="position:absolute;mso-position-horizontal-relative:page;mso-position-vertical-relative:page">
              <v:stroke color="black" weight="12600" joinstyle="miter" endcap="flat"/>
              <v:fill o:detectmouseclick="t" on="false"/>
              <w10:wrap type="none"/>
            </v:line>
          </w:pict>
        </mc:Fallback>
      </mc:AlternateContent>
    </w:r>
    <w:r>
      <w:rPr>
        <w:sz w:val="18"/>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mc:AlternateContent>
        <mc:Choice Requires="wps">
          <w:drawing>
            <wp:anchor behindDoc="1" distT="0" distB="0" distL="114935" distR="114935" simplePos="0" locked="0" layoutInCell="0" allowOverlap="1" relativeHeight="40">
              <wp:simplePos x="0" y="0"/>
              <wp:positionH relativeFrom="page">
                <wp:posOffset>1280160</wp:posOffset>
              </wp:positionH>
              <wp:positionV relativeFrom="page">
                <wp:posOffset>9509760</wp:posOffset>
              </wp:positionV>
              <wp:extent cx="5486400" cy="0"/>
              <wp:effectExtent l="0" t="6350" r="0" b="6350"/>
              <wp:wrapNone/>
              <wp:docPr id="7"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748.8pt" to="532.75pt,748.8pt" stroked="t" o:allowincell="f" style="position:absolute;mso-position-horizontal-relative:page;mso-position-vertical-relative:page">
              <v:stroke color="black" weight="12600" joinstyle="miter" endcap="flat"/>
              <v:fill o:detectmouseclick="t" on="false"/>
              <w10:wrap type="none"/>
            </v:line>
          </w:pict>
        </mc:Fallback>
      </mc:AlternateContent>
      <w:drawing>
        <wp:anchor behindDoc="1" distT="0" distB="0" distL="114935" distR="114935" simplePos="0" locked="0" layoutInCell="1" allowOverlap="1" relativeHeight="41">
          <wp:simplePos x="0" y="0"/>
          <wp:positionH relativeFrom="column">
            <wp:posOffset>5669280</wp:posOffset>
          </wp:positionH>
          <wp:positionV relativeFrom="paragraph">
            <wp:posOffset>-448310</wp:posOffset>
          </wp:positionV>
          <wp:extent cx="731520" cy="579755"/>
          <wp:effectExtent l="0" t="0" r="0" b="0"/>
          <wp:wrapNone/>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1"/>
                  <a:srcRect l="-14487" t="-55" r="-14487" b="-55"/>
                  <a:stretch>
                    <a:fillRect/>
                  </a:stretch>
                </pic:blipFill>
                <pic:spPr bwMode="auto">
                  <a:xfrm>
                    <a:off x="0" y="0"/>
                    <a:ext cx="731520" cy="579755"/>
                  </a:xfrm>
                  <a:prstGeom prst="rect">
                    <a:avLst/>
                  </a:prstGeom>
                  <a:solidFill>
                    <a:srgbClr val="ffffff"/>
                  </a:solidFill>
                </pic:spPr>
              </pic:pic>
            </a:graphicData>
          </a:graphic>
        </wp:anchor>
      </w:drawing>
    </w:r>
    <w:r>
      <w:rPr>
        <w:sz w:val="18"/>
      </w:rPr>
      <w:t>- 1 -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lang w:eastAsia="en-US"/>
      </w:rPr>
      <w:drawing>
        <wp:anchor behindDoc="1" distT="0" distB="0" distL="114935" distR="114935" simplePos="0" locked="0" layoutInCell="1" allowOverlap="1" relativeHeight="48">
          <wp:simplePos x="0" y="0"/>
          <wp:positionH relativeFrom="column">
            <wp:posOffset>5669280</wp:posOffset>
          </wp:positionH>
          <wp:positionV relativeFrom="paragraph">
            <wp:posOffset>-417195</wp:posOffset>
          </wp:positionV>
          <wp:extent cx="731520" cy="579755"/>
          <wp:effectExtent l="0" t="0" r="0" b="0"/>
          <wp:wrapNone/>
          <wp:docPr id="13" name="Image2 Copy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Copy 2" descr="" title=""/>
                  <pic:cNvPicPr>
                    <a:picLocks noChangeAspect="1" noChangeArrowheads="1"/>
                  </pic:cNvPicPr>
                </pic:nvPicPr>
                <pic:blipFill>
                  <a:blip r:embed="rId1"/>
                  <a:srcRect l="-14487" t="-55" r="-14487" b="-55"/>
                  <a:stretch>
                    <a:fillRect/>
                  </a:stretch>
                </pic:blipFill>
                <pic:spPr bwMode="auto">
                  <a:xfrm>
                    <a:off x="0" y="0"/>
                    <a:ext cx="731520" cy="579755"/>
                  </a:xfrm>
                  <a:prstGeom prst="rect">
                    <a:avLst/>
                  </a:prstGeom>
                  <a:solidFill>
                    <a:srgbClr val="ffffff"/>
                  </a:solidFill>
                </pic:spPr>
              </pic:pic>
            </a:graphicData>
          </a:graphic>
        </wp:anchor>
      </w:drawing>
      <w:t xml:space="preserve">- </w:t>
    </w:r>
    <w:r>
      <w:rPr>
        <w:sz w:val="18"/>
        <w:lang w:eastAsia="en-US"/>
      </w:rPr>
      <w:fldChar w:fldCharType="begin"/>
    </w:r>
    <w:r>
      <w:rPr>
        <w:sz w:val="18"/>
        <w:lang w:eastAsia="en-US"/>
      </w:rPr>
      <w:instrText xml:space="preserve"> PAGE </w:instrText>
    </w:r>
    <w:r>
      <w:rPr>
        <w:sz w:val="18"/>
        <w:lang w:eastAsia="en-US"/>
      </w:rPr>
      <w:fldChar w:fldCharType="separate"/>
    </w:r>
    <w:r>
      <w:rPr>
        <w:sz w:val="18"/>
        <w:lang w:eastAsia="en-US"/>
      </w:rPr>
      <w:t>10</w:t>
    </w:r>
    <w:r>
      <w:rPr>
        <w:sz w:val="18"/>
        <w:lang w:eastAsia="en-US"/>
      </w:rPr>
      <w:fldChar w:fldCharType="end"/>
    </w:r>
    <w:r>
      <w:rPr>
        <w:sz w:val="18"/>
        <w:lang w:eastAsia="en-US"/>
      </w:rPr>
      <mc:AlternateContent>
        <mc:Choice Requires="wps">
          <w:drawing>
            <wp:anchor behindDoc="1" distT="0" distB="0" distL="114935" distR="114935" simplePos="0" locked="0" layoutInCell="0" allowOverlap="1" relativeHeight="47">
              <wp:simplePos x="0" y="0"/>
              <wp:positionH relativeFrom="page">
                <wp:posOffset>1280160</wp:posOffset>
              </wp:positionH>
              <wp:positionV relativeFrom="page">
                <wp:posOffset>9509760</wp:posOffset>
              </wp:positionV>
              <wp:extent cx="5486400" cy="0"/>
              <wp:effectExtent l="0" t="6350" r="0" b="6350"/>
              <wp:wrapNone/>
              <wp:docPr id="14"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748.8pt" to="532.75pt,748.8pt" stroked="t" o:allowincell="f" style="position:absolute;mso-position-horizontal-relative:page;mso-position-vertical-relative:page">
              <v:stroke color="black" weight="12600" joinstyle="miter" endcap="flat"/>
              <v:fill o:detectmouseclick="t" on="false"/>
              <w10:wrap type="none"/>
            </v:line>
          </w:pict>
        </mc:Fallback>
      </mc:AlternateContent>
    </w:r>
    <w:r>
      <w:rPr>
        <w:sz w:val="18"/>
        <w:lang w:eastAsia="en-US"/>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lang w:eastAsia="en-US"/>
      </w:rPr>
      <w:drawing>
        <wp:anchor behindDoc="1" distT="0" distB="0" distL="114935" distR="114935" simplePos="0" locked="0" layoutInCell="1" allowOverlap="1" relativeHeight="44">
          <wp:simplePos x="0" y="0"/>
          <wp:positionH relativeFrom="column">
            <wp:posOffset>5669280</wp:posOffset>
          </wp:positionH>
          <wp:positionV relativeFrom="paragraph">
            <wp:posOffset>-417195</wp:posOffset>
          </wp:positionV>
          <wp:extent cx="731520" cy="579755"/>
          <wp:effectExtent l="0" t="0" r="0" b="0"/>
          <wp:wrapNone/>
          <wp:docPr id="15" name="Image2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Copy 1" descr="" title=""/>
                  <pic:cNvPicPr>
                    <a:picLocks noChangeAspect="1" noChangeArrowheads="1"/>
                  </pic:cNvPicPr>
                </pic:nvPicPr>
                <pic:blipFill>
                  <a:blip r:embed="rId1"/>
                  <a:srcRect l="-14487" t="-55" r="-14487" b="-55"/>
                  <a:stretch>
                    <a:fillRect/>
                  </a:stretch>
                </pic:blipFill>
                <pic:spPr bwMode="auto">
                  <a:xfrm>
                    <a:off x="0" y="0"/>
                    <a:ext cx="731520" cy="579755"/>
                  </a:xfrm>
                  <a:prstGeom prst="rect">
                    <a:avLst/>
                  </a:prstGeom>
                  <a:solidFill>
                    <a:srgbClr val="ffffff"/>
                  </a:solidFill>
                </pic:spPr>
              </pic:pic>
            </a:graphicData>
          </a:graphic>
        </wp:anchor>
      </w:drawing>
      <w:t xml:space="preserve">- </w:t>
    </w:r>
    <w:r>
      <w:rPr>
        <w:sz w:val="18"/>
        <w:lang w:eastAsia="en-US"/>
      </w:rPr>
      <w:fldChar w:fldCharType="begin"/>
    </w:r>
    <w:r>
      <w:rPr>
        <w:sz w:val="18"/>
        <w:lang w:eastAsia="en-US"/>
      </w:rPr>
      <w:instrText xml:space="preserve"> PAGE </w:instrText>
    </w:r>
    <w:r>
      <w:rPr>
        <w:sz w:val="18"/>
        <w:lang w:eastAsia="en-US"/>
      </w:rPr>
      <w:fldChar w:fldCharType="separate"/>
    </w:r>
    <w:r>
      <w:rPr>
        <w:sz w:val="18"/>
        <w:lang w:eastAsia="en-US"/>
      </w:rPr>
      <w:t>9</w:t>
    </w:r>
    <w:r>
      <w:rPr>
        <w:sz w:val="18"/>
        <w:lang w:eastAsia="en-US"/>
      </w:rPr>
      <w:fldChar w:fldCharType="end"/>
    </w:r>
    <w:r>
      <w:rPr>
        <w:sz w:val="18"/>
        <w:lang w:eastAsia="en-US"/>
      </w:rPr>
      <mc:AlternateContent>
        <mc:Choice Requires="wps">
          <w:drawing>
            <wp:anchor behindDoc="1" distT="0" distB="0" distL="114935" distR="114935" simplePos="0" locked="0" layoutInCell="0" allowOverlap="1" relativeHeight="43">
              <wp:simplePos x="0" y="0"/>
              <wp:positionH relativeFrom="page">
                <wp:posOffset>1280160</wp:posOffset>
              </wp:positionH>
              <wp:positionV relativeFrom="page">
                <wp:posOffset>9509760</wp:posOffset>
              </wp:positionV>
              <wp:extent cx="5486400" cy="0"/>
              <wp:effectExtent l="0" t="6350" r="0" b="6350"/>
              <wp:wrapNone/>
              <wp:docPr id="16"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748.8pt" to="532.75pt,748.8pt" stroked="t" o:allowincell="f" style="position:absolute;mso-position-horizontal-relative:page;mso-position-vertical-relative:page">
              <v:stroke color="black" weight="12600" joinstyle="miter" endcap="flat"/>
              <v:fill o:detectmouseclick="t" on="false"/>
              <w10:wrap type="none"/>
            </v:line>
          </w:pict>
        </mc:Fallback>
      </mc:AlternateContent>
    </w:r>
    <w:r>
      <w:rPr>
        <w:sz w:val="18"/>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lang w:eastAsia="en-US"/>
      </w:rPr>
      <w:drawing>
        <wp:anchor behindDoc="1" distT="0" distB="0" distL="114935" distR="114935" simplePos="0" locked="0" layoutInCell="1" allowOverlap="1" relativeHeight="31">
          <wp:simplePos x="0" y="0"/>
          <wp:positionH relativeFrom="column">
            <wp:posOffset>5669280</wp:posOffset>
          </wp:positionH>
          <wp:positionV relativeFrom="paragraph">
            <wp:posOffset>-417195</wp:posOffset>
          </wp:positionV>
          <wp:extent cx="731520" cy="579755"/>
          <wp:effectExtent l="0" t="0" r="0" b="0"/>
          <wp:wrapNone/>
          <wp:docPr id="22" name="Image2 Copy 1 Copy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 Copy 1 Copy 2" descr="" title=""/>
                  <pic:cNvPicPr>
                    <a:picLocks noChangeAspect="1" noChangeArrowheads="1"/>
                  </pic:cNvPicPr>
                </pic:nvPicPr>
                <pic:blipFill>
                  <a:blip r:embed="rId1"/>
                  <a:srcRect l="-14487" t="-55" r="-14487" b="-55"/>
                  <a:stretch>
                    <a:fillRect/>
                  </a:stretch>
                </pic:blipFill>
                <pic:spPr bwMode="auto">
                  <a:xfrm>
                    <a:off x="0" y="0"/>
                    <a:ext cx="731520" cy="579755"/>
                  </a:xfrm>
                  <a:prstGeom prst="rect">
                    <a:avLst/>
                  </a:prstGeom>
                  <a:solidFill>
                    <a:srgbClr val="ffffff"/>
                  </a:solidFill>
                </pic:spPr>
              </pic:pic>
            </a:graphicData>
          </a:graphic>
        </wp:anchor>
      </w:drawing>
      <w:t xml:space="preserve">- </w:t>
    </w:r>
    <w:r>
      <w:rPr>
        <w:sz w:val="18"/>
        <w:lang w:eastAsia="en-US"/>
      </w:rPr>
      <w:fldChar w:fldCharType="begin"/>
    </w:r>
    <w:r>
      <w:rPr>
        <w:sz w:val="18"/>
        <w:lang w:eastAsia="en-US"/>
      </w:rPr>
      <w:instrText xml:space="preserve"> PAGE </w:instrText>
    </w:r>
    <w:r>
      <w:rPr>
        <w:sz w:val="18"/>
        <w:lang w:eastAsia="en-US"/>
      </w:rPr>
      <w:fldChar w:fldCharType="separate"/>
    </w:r>
    <w:r>
      <w:rPr>
        <w:sz w:val="18"/>
        <w:lang w:eastAsia="en-US"/>
      </w:rPr>
      <w:t>19</w:t>
    </w:r>
    <w:r>
      <w:rPr>
        <w:sz w:val="18"/>
        <w:lang w:eastAsia="en-US"/>
      </w:rPr>
      <w:fldChar w:fldCharType="end"/>
    </w:r>
    <w:r>
      <w:rPr>
        <w:sz w:val="18"/>
        <w:lang w:eastAsia="en-US"/>
      </w:rPr>
      <mc:AlternateContent>
        <mc:Choice Requires="wps">
          <w:drawing>
            <wp:anchor behindDoc="1" distT="0" distB="0" distL="114935" distR="114935" simplePos="0" locked="0" layoutInCell="0" allowOverlap="1" relativeHeight="62">
              <wp:simplePos x="0" y="0"/>
              <wp:positionH relativeFrom="page">
                <wp:posOffset>1280160</wp:posOffset>
              </wp:positionH>
              <wp:positionV relativeFrom="page">
                <wp:posOffset>9509760</wp:posOffset>
              </wp:positionV>
              <wp:extent cx="5486400" cy="0"/>
              <wp:effectExtent l="0" t="6350" r="0" b="6350"/>
              <wp:wrapNone/>
              <wp:docPr id="23"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748.8pt" to="532.75pt,748.8pt" stroked="t" o:allowincell="f" style="position:absolute;mso-position-horizontal-relative:page;mso-position-vertical-relative:page">
              <v:stroke color="black" weight="12600" joinstyle="miter" endcap="flat"/>
              <v:fill o:detectmouseclick="t" on="false"/>
              <w10:wrap type="none"/>
            </v:line>
          </w:pict>
        </mc:Fallback>
      </mc:AlternateContent>
    </w:r>
    <w:r>
      <w:rPr>
        <w:sz w:val="18"/>
        <w:lang w:eastAsia="en-US"/>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lang w:eastAsia="en-US"/>
      </w:rPr>
      <w:drawing>
        <wp:anchor behindDoc="1" distT="0" distB="0" distL="114935" distR="114935" simplePos="0" locked="0" layoutInCell="1" allowOverlap="1" relativeHeight="52">
          <wp:simplePos x="0" y="0"/>
          <wp:positionH relativeFrom="column">
            <wp:posOffset>5669280</wp:posOffset>
          </wp:positionH>
          <wp:positionV relativeFrom="paragraph">
            <wp:posOffset>-417195</wp:posOffset>
          </wp:positionV>
          <wp:extent cx="731520" cy="579755"/>
          <wp:effectExtent l="0" t="0" r="0" b="0"/>
          <wp:wrapNone/>
          <wp:docPr id="24" name="Image2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 Copy 1 Copy 1" descr="" title=""/>
                  <pic:cNvPicPr>
                    <a:picLocks noChangeAspect="1" noChangeArrowheads="1"/>
                  </pic:cNvPicPr>
                </pic:nvPicPr>
                <pic:blipFill>
                  <a:blip r:embed="rId1"/>
                  <a:srcRect l="-14487" t="-55" r="-14487" b="-55"/>
                  <a:stretch>
                    <a:fillRect/>
                  </a:stretch>
                </pic:blipFill>
                <pic:spPr bwMode="auto">
                  <a:xfrm>
                    <a:off x="0" y="0"/>
                    <a:ext cx="731520" cy="579755"/>
                  </a:xfrm>
                  <a:prstGeom prst="rect">
                    <a:avLst/>
                  </a:prstGeom>
                  <a:solidFill>
                    <a:srgbClr val="ffffff"/>
                  </a:solidFill>
                </pic:spPr>
              </pic:pic>
            </a:graphicData>
          </a:graphic>
        </wp:anchor>
      </w:drawing>
      <w:t xml:space="preserve">- </w:t>
    </w:r>
    <w:r>
      <w:rPr>
        <w:sz w:val="18"/>
        <w:lang w:eastAsia="en-US"/>
      </w:rPr>
      <w:fldChar w:fldCharType="begin"/>
    </w:r>
    <w:r>
      <w:rPr>
        <w:sz w:val="18"/>
        <w:lang w:eastAsia="en-US"/>
      </w:rPr>
      <w:instrText xml:space="preserve"> PAGE </w:instrText>
    </w:r>
    <w:r>
      <w:rPr>
        <w:sz w:val="18"/>
        <w:lang w:eastAsia="en-US"/>
      </w:rPr>
      <w:fldChar w:fldCharType="separate"/>
    </w:r>
    <w:r>
      <w:rPr>
        <w:sz w:val="18"/>
        <w:lang w:eastAsia="en-US"/>
      </w:rPr>
      <w:t>11</w:t>
    </w:r>
    <w:r>
      <w:rPr>
        <w:sz w:val="18"/>
        <w:lang w:eastAsia="en-US"/>
      </w:rPr>
      <w:fldChar w:fldCharType="end"/>
    </w:r>
    <w:r>
      <w:rPr>
        <w:sz w:val="18"/>
        <w:lang w:eastAsia="en-US"/>
      </w:rPr>
      <mc:AlternateContent>
        <mc:Choice Requires="wps">
          <w:drawing>
            <wp:anchor behindDoc="1" distT="0" distB="0" distL="114935" distR="114935" simplePos="0" locked="0" layoutInCell="0" allowOverlap="1" relativeHeight="51">
              <wp:simplePos x="0" y="0"/>
              <wp:positionH relativeFrom="page">
                <wp:posOffset>1280160</wp:posOffset>
              </wp:positionH>
              <wp:positionV relativeFrom="page">
                <wp:posOffset>9509760</wp:posOffset>
              </wp:positionV>
              <wp:extent cx="5486400" cy="0"/>
              <wp:effectExtent l="0" t="6350" r="0" b="6350"/>
              <wp:wrapNone/>
              <wp:docPr id="25"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748.8pt" to="532.75pt,748.8pt" stroked="t" o:allowincell="f" style="position:absolute;mso-position-horizontal-relative:page;mso-position-vertical-relative:page">
              <v:stroke color="black" weight="12600" joinstyle="miter" endcap="flat"/>
              <v:fill o:detectmouseclick="t" on="false"/>
              <w10:wrap type="none"/>
            </v:line>
          </w:pict>
        </mc:Fallback>
      </mc:AlternateContent>
    </w:r>
    <w:r>
      <w:rPr>
        <w:sz w:val="18"/>
        <w:lang w:eastAsia="en-US"/>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With the installation of evaporative coolers, output will increase to 466 for Caledonia and 371 for New Albany.</w:t>
      </w:r>
    </w:p>
  </w:footnote>
  <w:footnote w:id="3">
    <w:p>
      <w:pPr>
        <w:pStyle w:val="FootnoteText"/>
        <w:rPr/>
      </w:pPr>
      <w:r>
        <w:rPr>
          <w:rStyle w:val="FootnoteCharacters"/>
        </w:rPr>
        <w:footnoteRef/>
      </w:r>
      <w:r>
        <w:rPr>
          <w:sz w:val="18"/>
        </w:rPr>
        <w:t xml:space="preserve">  </w:t>
      </w:r>
      <w:r>
        <w:rPr>
          <w:sz w:val="18"/>
        </w:rPr>
        <w:t>Excluding the entire month of March</w:t>
      </w:r>
    </w:p>
  </w:footnote>
  <w:footnote w:id="4">
    <w:p>
      <w:pPr>
        <w:pStyle w:val="FootnoteText"/>
        <w:rPr/>
      </w:pPr>
      <w:r>
        <w:rPr>
          <w:rStyle w:val="FootnoteCharacters"/>
        </w:rPr>
        <w:footnoteRef/>
      </w:r>
      <w:r>
        <w:rPr>
          <w:sz w:val="18"/>
        </w:rPr>
        <w:t xml:space="preserve">  </w:t>
      </w:r>
      <w:r>
        <w:rPr>
          <w:sz w:val="18"/>
        </w:rPr>
        <w:t xml:space="preserve">Excluding the entire month of October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Arial"/>
      </w:rPr>
      <w:t xml:space="preserve">                                                                                                                                          </w:t>
    </w:r>
    <w:r>
      <w:rPr>
        <w:rFonts w:cs="Times New Roman" w:ascii="Times New Roman" w:hAnsi="Times New Roman"/>
        <w:b/>
        <w:sz w:val="18"/>
      </w:rPr>
      <w:t>Confidential</w:t>
    </w:r>
  </w:p>
  <w:p>
    <w:pPr>
      <w:pStyle w:val="Header"/>
      <w:rPr>
        <w:rFonts w:ascii="Times New Roman" w:hAnsi="Times New Roman" w:cs="Times New Roman"/>
        <w:b/>
        <w:sz w:val="18"/>
        <w:lang w:val="en-CA"/>
      </w:rPr>
    </w:pPr>
    <w:r>
      <w:rPr>
        <w:rFonts w:cs="Times New Roman" w:ascii="Times New Roman" w:hAnsi="Times New Roman"/>
        <w:b/>
        <w:sz w:val="18"/>
        <w:lang w:val="en-CA"/>
      </w:rPr>
      <mc:AlternateContent>
        <mc:Choice Requires="wps">
          <w:drawing>
            <wp:anchor behindDoc="1" distT="0" distB="0" distL="114935" distR="114935" simplePos="0" locked="0" layoutInCell="0" allowOverlap="1" relativeHeight="8">
              <wp:simplePos x="0" y="0"/>
              <wp:positionH relativeFrom="page">
                <wp:posOffset>1282700</wp:posOffset>
              </wp:positionH>
              <wp:positionV relativeFrom="page">
                <wp:posOffset>671195</wp:posOffset>
              </wp:positionV>
              <wp:extent cx="1917700" cy="0"/>
              <wp:effectExtent l="0" t="31750" r="0" b="31750"/>
              <wp:wrapNone/>
              <wp:docPr id="1"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ff"/>
                        </a:solidFill>
                        <a:miter/>
                      </a:ln>
                    </wps:spPr>
                    <wps:style>
                      <a:lnRef idx="0"/>
                      <a:fillRef idx="0"/>
                      <a:effectRef idx="0"/>
                      <a:fontRef idx="minor"/>
                    </wps:style>
                    <wps:bodyPr/>
                  </wps:wsp>
                </a:graphicData>
              </a:graphic>
            </wp:anchor>
          </w:drawing>
        </mc:Choice>
        <mc:Fallback>
          <w:pict>
            <v:line id="shape_0" from="101pt,52.85pt" to="251.95pt,52.85pt" stroked="t" o:allowincell="f" style="position:absolute;mso-position-horizontal-relative:page;mso-position-vertical-relative:page">
              <v:stroke color="blue"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5">
              <wp:simplePos x="0" y="0"/>
              <wp:positionH relativeFrom="page">
                <wp:posOffset>1188720</wp:posOffset>
              </wp:positionH>
              <wp:positionV relativeFrom="page">
                <wp:posOffset>671195</wp:posOffset>
              </wp:positionV>
              <wp:extent cx="5486400" cy="0"/>
              <wp:effectExtent l="0" t="6350" r="0" b="6350"/>
              <wp:wrapNone/>
              <wp:docPr id="2"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3.6pt,52.85pt" to="525.55pt,52.85pt" stroked="t" o:allowincell="f" style="position:absolute;mso-position-horizontal-relative:page;mso-position-vertical-relative:page">
              <v:stroke color="black" weight="12600" joinstyle="miter" endcap="flat"/>
              <v:fill o:detectmouseclick="t" on="false"/>
              <w10:wrap type="none"/>
            </v:line>
          </w:pict>
        </mc:Fallback>
      </mc:AlternateContent>
    </w:r>
  </w:p>
  <w:p>
    <w:pPr>
      <w:pStyle w:val="Header"/>
      <w:tabs>
        <w:tab w:val="center" w:pos="4320" w:leader="none"/>
        <w:tab w:val="left" w:pos="4680" w:leader="none"/>
        <w:tab w:val="right" w:pos="8640" w:leader="none"/>
      </w:tabs>
      <w:rPr/>
    </w:pPr>
    <w:r>
      <w:rPr>
        <w:rFonts w:eastAsia="Arial"/>
        <w:b/>
        <w:sz w:val="30"/>
      </w:rPr>
      <w:t xml:space="preserve">       </w:t>
    </w:r>
    <w:r>
      <w:rPr>
        <w:b/>
        <w:i/>
        <w:sz w:val="30"/>
      </w:rPr>
      <w:t>Overview of Enron’s Generation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sz w:val="18"/>
      </w:rPr>
    </w:pPr>
    <w:r>
      <mc:AlternateContent>
        <mc:Choice Requires="wps">
          <w:drawing>
            <wp:anchor behindDoc="1" distT="0" distB="0" distL="114935" distR="114935" simplePos="0" locked="0" layoutInCell="0" allowOverlap="1" relativeHeight="38">
              <wp:simplePos x="0" y="0"/>
              <wp:positionH relativeFrom="page">
                <wp:posOffset>1188720</wp:posOffset>
              </wp:positionH>
              <wp:positionV relativeFrom="page">
                <wp:posOffset>640080</wp:posOffset>
              </wp:positionV>
              <wp:extent cx="5486400" cy="0"/>
              <wp:effectExtent l="0" t="6350" r="0" b="6350"/>
              <wp:wrapNone/>
              <wp:docPr id="3"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3.6pt,50.4pt" to="525.55pt,50.4pt" stroked="t" o:allowincell="f" style="position:absolute;mso-position-horizontal-relative:page;mso-position-vertical-relative:page">
              <v:stroke color="black" weight="1260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39">
              <wp:simplePos x="0" y="0"/>
              <wp:positionH relativeFrom="page">
                <wp:posOffset>1280160</wp:posOffset>
              </wp:positionH>
              <wp:positionV relativeFrom="page">
                <wp:posOffset>640080</wp:posOffset>
              </wp:positionV>
              <wp:extent cx="1917700" cy="0"/>
              <wp:effectExtent l="0" t="31750" r="0" b="31750"/>
              <wp:wrapNone/>
              <wp:docPr id="4"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ff"/>
                        </a:solidFill>
                        <a:miter/>
                      </a:ln>
                    </wps:spPr>
                    <wps:style>
                      <a:lnRef idx="0"/>
                      <a:fillRef idx="0"/>
                      <a:effectRef idx="0"/>
                      <a:fontRef idx="minor"/>
                    </wps:style>
                    <wps:bodyPr/>
                  </wps:wsp>
                </a:graphicData>
              </a:graphic>
            </wp:anchor>
          </w:drawing>
        </mc:Choice>
        <mc:Fallback>
          <w:pict>
            <v:line id="shape_0" from="100.8pt,50.4pt" to="251.75pt,50.4pt" stroked="t" o:allowincell="f" style="position:absolute;mso-position-horizontal-relative:page;mso-position-vertical-relative:page">
              <v:stroke color="blue" weight="63360" joinstyle="miter" endcap="flat"/>
              <v:fill o:detectmouseclick="t" on="false"/>
              <w10:wrap type="none"/>
            </v:line>
          </w:pict>
        </mc:Fallback>
      </mc:AlternateContent>
    </w:r>
    <w:r>
      <w:rPr>
        <w:rFonts w:cs="Times New Roman" w:ascii="Times New Roman" w:hAnsi="Times New Roman"/>
        <w:b/>
        <w:sz w:val="18"/>
      </w:rPr>
      <w:t xml:space="preserve">                                                                                                                                                                           </w:t>
    </w:r>
    <w:r>
      <w:rPr>
        <w:rFonts w:cs="Times New Roman" w:ascii="Times New Roman" w:hAnsi="Times New Roman"/>
        <w:b/>
        <w:sz w:val="18"/>
      </w:rPr>
      <w:t>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Arial"/>
      </w:rPr>
      <w:t xml:space="preserve">                                                                                                                                          </w:t>
    </w:r>
    <w:r>
      <w:rPr>
        <w:rFonts w:cs="Times New Roman" w:ascii="Times New Roman" w:hAnsi="Times New Roman"/>
        <w:b/>
        <w:sz w:val="18"/>
      </w:rPr>
      <w:t>Confidential</w:t>
    </w:r>
  </w:p>
  <w:p>
    <w:pPr>
      <w:pStyle w:val="Header"/>
      <w:rPr>
        <w:rFonts w:ascii="Times New Roman" w:hAnsi="Times New Roman" w:cs="Times New Roman"/>
        <w:b/>
        <w:sz w:val="18"/>
        <w:lang w:val="en-CA"/>
      </w:rPr>
    </w:pPr>
    <w:r>
      <w:rPr>
        <w:rFonts w:cs="Times New Roman" w:ascii="Times New Roman" w:hAnsi="Times New Roman"/>
        <w:b/>
        <w:sz w:val="18"/>
        <w:lang w:val="en-CA"/>
      </w:rPr>
      <mc:AlternateContent>
        <mc:Choice Requires="wps">
          <w:drawing>
            <wp:anchor behindDoc="1" distT="0" distB="0" distL="114935" distR="114935" simplePos="0" locked="0" layoutInCell="0" allowOverlap="1" relativeHeight="49">
              <wp:simplePos x="0" y="0"/>
              <wp:positionH relativeFrom="page">
                <wp:posOffset>1282700</wp:posOffset>
              </wp:positionH>
              <wp:positionV relativeFrom="page">
                <wp:posOffset>671195</wp:posOffset>
              </wp:positionV>
              <wp:extent cx="1917700" cy="0"/>
              <wp:effectExtent l="0" t="31750" r="0" b="31750"/>
              <wp:wrapNone/>
              <wp:docPr id="9"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ff"/>
                        </a:solidFill>
                        <a:miter/>
                      </a:ln>
                    </wps:spPr>
                    <wps:style>
                      <a:lnRef idx="0"/>
                      <a:fillRef idx="0"/>
                      <a:effectRef idx="0"/>
                      <a:fontRef idx="minor"/>
                    </wps:style>
                    <wps:bodyPr/>
                  </wps:wsp>
                </a:graphicData>
              </a:graphic>
            </wp:anchor>
          </w:drawing>
        </mc:Choice>
        <mc:Fallback>
          <w:pict>
            <v:line id="shape_0" from="101pt,52.85pt" to="251.95pt,52.85pt" stroked="t" o:allowincell="f" style="position:absolute;mso-position-horizontal-relative:page;mso-position-vertical-relative:page">
              <v:stroke color="blue"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50">
              <wp:simplePos x="0" y="0"/>
              <wp:positionH relativeFrom="page">
                <wp:posOffset>1188720</wp:posOffset>
              </wp:positionH>
              <wp:positionV relativeFrom="page">
                <wp:posOffset>671195</wp:posOffset>
              </wp:positionV>
              <wp:extent cx="5486400" cy="0"/>
              <wp:effectExtent l="0" t="6350" r="0" b="6350"/>
              <wp:wrapNone/>
              <wp:docPr id="10"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3.6pt,52.85pt" to="525.55pt,52.85pt" stroked="t" o:allowincell="f" style="position:absolute;mso-position-horizontal-relative:page;mso-position-vertical-relative:page">
              <v:stroke color="black" weight="12600" joinstyle="miter" endcap="flat"/>
              <v:fill o:detectmouseclick="t" on="false"/>
              <w10:wrap type="none"/>
            </v:line>
          </w:pict>
        </mc:Fallback>
      </mc:AlternateContent>
    </w:r>
  </w:p>
  <w:p>
    <w:pPr>
      <w:pStyle w:val="Header"/>
      <w:tabs>
        <w:tab w:val="center" w:pos="4320" w:leader="none"/>
        <w:tab w:val="left" w:pos="4680" w:leader="none"/>
        <w:tab w:val="right" w:pos="8640" w:leader="none"/>
      </w:tabs>
      <w:rPr/>
    </w:pPr>
    <w:r>
      <w:rPr>
        <w:rFonts w:eastAsia="Arial"/>
        <w:b/>
        <w:sz w:val="30"/>
      </w:rPr>
      <w:t xml:space="preserve">       </w:t>
    </w:r>
    <w:r>
      <w:rPr>
        <w:b/>
        <w:i/>
        <w:sz w:val="30"/>
      </w:rPr>
      <w:t>Overview of Enron’s Generation</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Arial"/>
      </w:rPr>
      <w:t xml:space="preserve">                                                                                                                                          </w:t>
    </w:r>
    <w:r>
      <w:rPr>
        <w:rFonts w:cs="Times New Roman" w:ascii="Times New Roman" w:hAnsi="Times New Roman"/>
        <w:b/>
        <w:sz w:val="18"/>
      </w:rPr>
      <w:t>Confidential</w:t>
    </w:r>
  </w:p>
  <w:p>
    <w:pPr>
      <w:pStyle w:val="Header"/>
      <w:rPr>
        <w:rFonts w:ascii="Times New Roman" w:hAnsi="Times New Roman" w:cs="Times New Roman"/>
        <w:b/>
        <w:sz w:val="18"/>
        <w:lang w:val="en-CA"/>
      </w:rPr>
    </w:pPr>
    <w:r>
      <w:rPr>
        <w:rFonts w:cs="Times New Roman" w:ascii="Times New Roman" w:hAnsi="Times New Roman"/>
        <w:b/>
        <w:sz w:val="18"/>
        <w:lang w:val="en-CA"/>
      </w:rPr>
      <mc:AlternateContent>
        <mc:Choice Requires="wps">
          <w:drawing>
            <wp:anchor behindDoc="1" distT="0" distB="0" distL="114935" distR="114935" simplePos="0" locked="0" layoutInCell="0" allowOverlap="1" relativeHeight="45">
              <wp:simplePos x="0" y="0"/>
              <wp:positionH relativeFrom="page">
                <wp:posOffset>1282700</wp:posOffset>
              </wp:positionH>
              <wp:positionV relativeFrom="page">
                <wp:posOffset>671195</wp:posOffset>
              </wp:positionV>
              <wp:extent cx="1917700" cy="0"/>
              <wp:effectExtent l="0" t="31750" r="0" b="31750"/>
              <wp:wrapNone/>
              <wp:docPr id="11"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ff"/>
                        </a:solidFill>
                        <a:miter/>
                      </a:ln>
                    </wps:spPr>
                    <wps:style>
                      <a:lnRef idx="0"/>
                      <a:fillRef idx="0"/>
                      <a:effectRef idx="0"/>
                      <a:fontRef idx="minor"/>
                    </wps:style>
                    <wps:bodyPr/>
                  </wps:wsp>
                </a:graphicData>
              </a:graphic>
            </wp:anchor>
          </w:drawing>
        </mc:Choice>
        <mc:Fallback>
          <w:pict>
            <v:line id="shape_0" from="101pt,52.85pt" to="251.95pt,52.85pt" stroked="t" o:allowincell="f" style="position:absolute;mso-position-horizontal-relative:page;mso-position-vertical-relative:page">
              <v:stroke color="blue"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46">
              <wp:simplePos x="0" y="0"/>
              <wp:positionH relativeFrom="page">
                <wp:posOffset>1188720</wp:posOffset>
              </wp:positionH>
              <wp:positionV relativeFrom="page">
                <wp:posOffset>671195</wp:posOffset>
              </wp:positionV>
              <wp:extent cx="5486400" cy="0"/>
              <wp:effectExtent l="0" t="6350" r="0" b="6350"/>
              <wp:wrapNone/>
              <wp:docPr id="12"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3.6pt,52.85pt" to="525.55pt,52.85pt" stroked="t" o:allowincell="f" style="position:absolute;mso-position-horizontal-relative:page;mso-position-vertical-relative:page">
              <v:stroke color="black" weight="12600" joinstyle="miter" endcap="flat"/>
              <v:fill o:detectmouseclick="t" on="false"/>
              <w10:wrap type="none"/>
            </v:line>
          </w:pict>
        </mc:Fallback>
      </mc:AlternateContent>
    </w:r>
  </w:p>
  <w:p>
    <w:pPr>
      <w:pStyle w:val="Header"/>
      <w:tabs>
        <w:tab w:val="center" w:pos="4320" w:leader="none"/>
        <w:tab w:val="left" w:pos="4680" w:leader="none"/>
        <w:tab w:val="right" w:pos="8640" w:leader="none"/>
      </w:tabs>
      <w:rPr/>
    </w:pPr>
    <w:r>
      <w:rPr>
        <w:rFonts w:eastAsia="Arial"/>
        <w:b/>
        <w:sz w:val="30"/>
      </w:rPr>
      <w:t xml:space="preserve">       </w:t>
    </w:r>
    <w:r>
      <w:rPr>
        <w:b/>
        <w:i/>
        <w:sz w:val="30"/>
      </w:rPr>
      <w:t>Overview of Enron’s Generation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Arial"/>
      </w:rPr>
      <w:t xml:space="preserve">                                                                                                                                          </w:t>
    </w:r>
    <w:r>
      <w:rPr>
        <w:rFonts w:cs="Times New Roman" w:ascii="Times New Roman" w:hAnsi="Times New Roman"/>
        <w:b/>
        <w:sz w:val="18"/>
      </w:rPr>
      <w:t>Confidential</w:t>
    </w:r>
  </w:p>
  <w:p>
    <w:pPr>
      <w:pStyle w:val="Header"/>
      <w:rPr>
        <w:rFonts w:ascii="Times New Roman" w:hAnsi="Times New Roman" w:cs="Times New Roman"/>
        <w:b/>
        <w:sz w:val="18"/>
        <w:lang w:val="en-CA"/>
      </w:rPr>
    </w:pPr>
    <w:r>
      <w:rPr>
        <w:rFonts w:cs="Times New Roman" w:ascii="Times New Roman" w:hAnsi="Times New Roman"/>
        <w:b/>
        <w:sz w:val="18"/>
        <w:lang w:val="en-CA"/>
      </w:rPr>
      <mc:AlternateContent>
        <mc:Choice Requires="wps">
          <w:drawing>
            <wp:anchor behindDoc="1" distT="0" distB="0" distL="114935" distR="114935" simplePos="0" locked="0" layoutInCell="0" allowOverlap="1" relativeHeight="70">
              <wp:simplePos x="0" y="0"/>
              <wp:positionH relativeFrom="page">
                <wp:posOffset>1282700</wp:posOffset>
              </wp:positionH>
              <wp:positionV relativeFrom="page">
                <wp:posOffset>671195</wp:posOffset>
              </wp:positionV>
              <wp:extent cx="1917700" cy="0"/>
              <wp:effectExtent l="0" t="31750" r="0" b="31750"/>
              <wp:wrapNone/>
              <wp:docPr id="18"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ff"/>
                        </a:solidFill>
                        <a:miter/>
                      </a:ln>
                    </wps:spPr>
                    <wps:style>
                      <a:lnRef idx="0"/>
                      <a:fillRef idx="0"/>
                      <a:effectRef idx="0"/>
                      <a:fontRef idx="minor"/>
                    </wps:style>
                    <wps:bodyPr/>
                  </wps:wsp>
                </a:graphicData>
              </a:graphic>
            </wp:anchor>
          </w:drawing>
        </mc:Choice>
        <mc:Fallback>
          <w:pict>
            <v:line id="shape_0" from="101pt,52.85pt" to="251.95pt,52.85pt" stroked="t" o:allowincell="f" style="position:absolute;mso-position-horizontal-relative:page;mso-position-vertical-relative:page">
              <v:stroke color="blue"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78">
              <wp:simplePos x="0" y="0"/>
              <wp:positionH relativeFrom="page">
                <wp:posOffset>1188720</wp:posOffset>
              </wp:positionH>
              <wp:positionV relativeFrom="page">
                <wp:posOffset>671195</wp:posOffset>
              </wp:positionV>
              <wp:extent cx="5486400" cy="0"/>
              <wp:effectExtent l="0" t="6350" r="0" b="6350"/>
              <wp:wrapNone/>
              <wp:docPr id="19"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3.6pt,52.85pt" to="525.55pt,52.85pt" stroked="t" o:allowincell="f" style="position:absolute;mso-position-horizontal-relative:page;mso-position-vertical-relative:page">
              <v:stroke color="black" weight="12600" joinstyle="miter" endcap="flat"/>
              <v:fill o:detectmouseclick="t" on="false"/>
              <w10:wrap type="none"/>
            </v:line>
          </w:pict>
        </mc:Fallback>
      </mc:AlternateContent>
    </w:r>
  </w:p>
  <w:p>
    <w:pPr>
      <w:pStyle w:val="Header"/>
      <w:tabs>
        <w:tab w:val="center" w:pos="4320" w:leader="none"/>
        <w:tab w:val="left" w:pos="4680" w:leader="none"/>
        <w:tab w:val="right" w:pos="8640" w:leader="none"/>
      </w:tabs>
      <w:rPr/>
    </w:pPr>
    <w:r>
      <w:rPr>
        <w:rFonts w:eastAsia="Arial"/>
        <w:b/>
        <w:sz w:val="30"/>
      </w:rPr>
      <w:t xml:space="preserve">       </w:t>
    </w:r>
    <w:r>
      <w:rPr>
        <w:b/>
        <w:i/>
        <w:sz w:val="30"/>
      </w:rPr>
      <w:t>Overview of Enron’s Generation</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eastAsia="Arial"/>
      </w:rPr>
      <w:t xml:space="preserve">                                                                                                                                          </w:t>
    </w:r>
    <w:r>
      <w:rPr>
        <w:rFonts w:cs="Times New Roman" w:ascii="Times New Roman" w:hAnsi="Times New Roman"/>
        <w:b/>
        <w:sz w:val="18"/>
      </w:rPr>
      <w:t>Confidential</w:t>
    </w:r>
  </w:p>
  <w:p>
    <w:pPr>
      <w:pStyle w:val="Header"/>
      <w:rPr>
        <w:rFonts w:ascii="Times New Roman" w:hAnsi="Times New Roman" w:cs="Times New Roman"/>
        <w:b/>
        <w:sz w:val="18"/>
        <w:lang w:val="en-CA"/>
      </w:rPr>
    </w:pPr>
    <w:r>
      <w:rPr>
        <w:rFonts w:cs="Times New Roman" w:ascii="Times New Roman" w:hAnsi="Times New Roman"/>
        <w:b/>
        <w:sz w:val="18"/>
        <w:lang w:val="en-CA"/>
      </w:rPr>
      <mc:AlternateContent>
        <mc:Choice Requires="wps">
          <w:drawing>
            <wp:anchor behindDoc="1" distT="0" distB="0" distL="114935" distR="114935" simplePos="0" locked="0" layoutInCell="0" allowOverlap="1" relativeHeight="53">
              <wp:simplePos x="0" y="0"/>
              <wp:positionH relativeFrom="page">
                <wp:posOffset>1282700</wp:posOffset>
              </wp:positionH>
              <wp:positionV relativeFrom="page">
                <wp:posOffset>671195</wp:posOffset>
              </wp:positionV>
              <wp:extent cx="1917700" cy="0"/>
              <wp:effectExtent l="0" t="31750" r="0" b="31750"/>
              <wp:wrapNone/>
              <wp:docPr id="20"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ff"/>
                        </a:solidFill>
                        <a:miter/>
                      </a:ln>
                    </wps:spPr>
                    <wps:style>
                      <a:lnRef idx="0"/>
                      <a:fillRef idx="0"/>
                      <a:effectRef idx="0"/>
                      <a:fontRef idx="minor"/>
                    </wps:style>
                    <wps:bodyPr/>
                  </wps:wsp>
                </a:graphicData>
              </a:graphic>
            </wp:anchor>
          </w:drawing>
        </mc:Choice>
        <mc:Fallback>
          <w:pict>
            <v:line id="shape_0" from="101pt,52.85pt" to="251.95pt,52.85pt" stroked="t" o:allowincell="f" style="position:absolute;mso-position-horizontal-relative:page;mso-position-vertical-relative:page">
              <v:stroke color="blue"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54">
              <wp:simplePos x="0" y="0"/>
              <wp:positionH relativeFrom="page">
                <wp:posOffset>1188720</wp:posOffset>
              </wp:positionH>
              <wp:positionV relativeFrom="page">
                <wp:posOffset>671195</wp:posOffset>
              </wp:positionV>
              <wp:extent cx="5486400" cy="0"/>
              <wp:effectExtent l="0" t="6350" r="0" b="6350"/>
              <wp:wrapNone/>
              <wp:docPr id="21" name=""/>
              <a:graphic xmlns:a="http://schemas.openxmlformats.org/drawingml/2006/main">
                <a:graphicData uri="http://schemas.microsoft.com/office/word/2010/wordprocessingShape">
                  <wps:wsp>
                    <wps:cNvSpPr/>
                    <wps:spPr>
                      <a:xfrm>
                        <a:off x="0" y="0"/>
                        <a:ext cx="5486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93.6pt,52.85pt" to="525.55pt,52.85pt" stroked="t" o:allowincell="f" style="position:absolute;mso-position-horizontal-relative:page;mso-position-vertical-relative:page">
              <v:stroke color="black" weight="12600" joinstyle="miter" endcap="flat"/>
              <v:fill o:detectmouseclick="t" on="false"/>
              <w10:wrap type="none"/>
            </v:line>
          </w:pict>
        </mc:Fallback>
      </mc:AlternateContent>
    </w:r>
  </w:p>
  <w:p>
    <w:pPr>
      <w:pStyle w:val="Header"/>
      <w:tabs>
        <w:tab w:val="center" w:pos="4320" w:leader="none"/>
        <w:tab w:val="left" w:pos="4680" w:leader="none"/>
        <w:tab w:val="right" w:pos="8640" w:leader="none"/>
      </w:tabs>
      <w:rPr/>
    </w:pPr>
    <w:r>
      <w:rPr>
        <w:rFonts w:eastAsia="Arial"/>
        <w:b/>
        <w:sz w:val="30"/>
      </w:rPr>
      <w:t xml:space="preserve">       </w:t>
    </w:r>
    <w:r>
      <w:rPr>
        <w:b/>
        <w:i/>
        <w:sz w:val="30"/>
      </w:rPr>
      <w:t>Overview of Enron’s Generation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numFmt w:val="bullet"/>
      <w:lvlText w:val="-"/>
      <w:lvlJc w:val="start"/>
      <w:pPr>
        <w:tabs>
          <w:tab w:val="num" w:pos="1080"/>
        </w:tabs>
        <w:ind w:start="1080" w:hanging="360"/>
      </w:pPr>
      <w:rPr>
        <w:rFonts w:ascii="Liberation Serif" w:hAnsi="Liberation Serif" w:cs="Liberation Serif" w:hint="default"/>
      </w:rPr>
    </w:lvl>
  </w:abstractNum>
  <w:abstractNum w:abstractNumId="10">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2160"/>
        </w:tabs>
        <w:ind w:start="21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20">
    <w:lvl w:ilvl="0">
      <w:start w:val="1"/>
      <w:numFmt w:val="lowerRoman"/>
      <w:lvlText w:val="(%1)"/>
      <w:lvlJc w:val="start"/>
      <w:pPr>
        <w:tabs>
          <w:tab w:val="num" w:pos="2880"/>
        </w:tabs>
        <w:ind w:start="2880" w:hanging="720"/>
      </w:pPr>
    </w:lvl>
  </w:abstractNum>
  <w:abstractNum w:abstractNumId="21">
    <w:lvl w:ilvl="0">
      <w:start w:val="1"/>
      <w:numFmt w:val="bullet"/>
      <w:lvlText w:val=""/>
      <w:lvlJc w:val="start"/>
      <w:pPr>
        <w:tabs>
          <w:tab w:val="num" w:pos="2880"/>
        </w:tabs>
        <w:ind w:start="360" w:firstLine="2160"/>
      </w:pPr>
      <w:rPr>
        <w:rFonts w:ascii="Wingdings" w:hAnsi="Wingdings" w:cs="Wingdings" w:hint="default"/>
        <w:sz w:val="10"/>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decimal"/>
      <w:lvlText w:val="%1)"/>
      <w:lvlJc w:val="start"/>
      <w:pPr>
        <w:tabs>
          <w:tab w:val="num" w:pos="360"/>
        </w:tabs>
        <w:ind w:start="360" w:hanging="360"/>
      </w:pPr>
      <w:rPr/>
    </w:lvl>
  </w:abstractNum>
  <w:abstractNum w:abstractNumId="27">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1440"/>
        </w:tabs>
        <w:ind w:start="1440" w:hanging="360"/>
      </w:pPr>
      <w:rPr>
        <w:rFonts w:ascii="Symbol" w:hAnsi="Symbol" w:cs="Symbol" w:hint="default"/>
        <w:position w:val="2"/>
      </w:rPr>
    </w:lvl>
  </w:abstractNum>
  <w:abstractNum w:abstractNumId="30">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31">
    <w:lvl w:ilvl="0">
      <w:start w:val="1"/>
      <w:numFmt w:val="decimal"/>
      <w:lvlText w:val="%1)"/>
      <w:lvlJc w:val="start"/>
      <w:pPr>
        <w:tabs>
          <w:tab w:val="num" w:pos="1080"/>
        </w:tabs>
        <w:ind w:start="1080" w:hanging="360"/>
      </w:pPr>
      <w:rPr/>
    </w:lvl>
  </w:abstractNum>
  <w:abstractNum w:abstractNumId="32">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2"/>
    <w:lvlOverride w:ilvl="0">
      <w:startOverride w:val="1"/>
    </w:lvlOverride>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0"/>
    </w:rPr>
  </w:style>
  <w:style w:type="paragraph" w:styleId="Heading2">
    <w:name w:val="heading 2"/>
    <w:basedOn w:val="Normal"/>
    <w:next w:val="Normal"/>
    <w:qFormat/>
    <w:pPr>
      <w:keepNext w:val="true"/>
      <w:numPr>
        <w:ilvl w:val="1"/>
        <w:numId w:val="1"/>
      </w:numPr>
      <w:spacing w:before="60" w:after="0"/>
      <w:jc w:val="center"/>
      <w:outlineLvl w:val="1"/>
    </w:pPr>
    <w:rPr>
      <w:rFonts w:ascii="Arial" w:hAnsi="Arial" w:cs="Arial"/>
      <w:b/>
    </w:rPr>
  </w:style>
  <w:style w:type="paragraph" w:styleId="Heading3">
    <w:name w:val="heading 3"/>
    <w:basedOn w:val="Normal"/>
    <w:next w:val="Normal"/>
    <w:qFormat/>
    <w:pPr>
      <w:keepNext w:val="true"/>
      <w:numPr>
        <w:ilvl w:val="2"/>
        <w:numId w:val="1"/>
      </w:numPr>
      <w:outlineLvl w:val="2"/>
    </w:pPr>
    <w:rPr>
      <w:b/>
      <w:sz w:val="50"/>
    </w:rPr>
  </w:style>
  <w:style w:type="paragraph" w:styleId="Heading4">
    <w:name w:val="heading 4"/>
    <w:basedOn w:val="Normal"/>
    <w:next w:val="Normal"/>
    <w:qFormat/>
    <w:pPr>
      <w:keepNext w:val="true"/>
      <w:numPr>
        <w:ilvl w:val="3"/>
        <w:numId w:val="1"/>
      </w:numPr>
      <w:ind w:hanging="540" w:start="540" w:end="0"/>
      <w:outlineLvl w:val="3"/>
    </w:pPr>
    <w:rPr>
      <w:b/>
      <w:color w:val="000000"/>
      <w:sz w:val="40"/>
      <w:lang w:eastAsia="en-US"/>
    </w:rPr>
  </w:style>
  <w:style w:type="paragraph" w:styleId="Heading5">
    <w:name w:val="heading 5"/>
    <w:basedOn w:val="Normal"/>
    <w:next w:val="Normal"/>
    <w:qFormat/>
    <w:pPr>
      <w:keepNext w:val="true"/>
      <w:numPr>
        <w:ilvl w:val="4"/>
        <w:numId w:val="1"/>
      </w:numPr>
      <w:ind w:firstLine="720" w:start="720" w:end="0"/>
      <w:outlineLvl w:val="4"/>
    </w:pPr>
    <w:rPr>
      <w:b/>
      <w:sz w:val="40"/>
    </w:rPr>
  </w:style>
  <w:style w:type="paragraph" w:styleId="Heading6">
    <w:name w:val="heading 6"/>
    <w:basedOn w:val="Normal"/>
    <w:next w:val="Normal"/>
    <w:qFormat/>
    <w:pPr>
      <w:keepNext w:val="true"/>
      <w:numPr>
        <w:ilvl w:val="5"/>
        <w:numId w:val="1"/>
      </w:numPr>
      <w:spacing w:before="120" w:after="120"/>
      <w:jc w:val="center"/>
      <w:outlineLvl w:val="5"/>
    </w:pPr>
    <w:rPr>
      <w:rFonts w:ascii="Arial Bold" w:hAnsi="Arial Bold" w:cs="Arial Bold"/>
      <w:b/>
      <w:color w:val="FFFFFF"/>
      <w:sz w:val="24"/>
    </w:rPr>
  </w:style>
  <w:style w:type="paragraph" w:styleId="Heading7">
    <w:name w:val="heading 7"/>
    <w:basedOn w:val="Normal"/>
    <w:next w:val="Normal"/>
    <w:qFormat/>
    <w:pPr>
      <w:keepNext w:val="true"/>
      <w:numPr>
        <w:ilvl w:val="6"/>
        <w:numId w:val="1"/>
      </w:numPr>
      <w:spacing w:before="300" w:after="0"/>
      <w:outlineLvl w:val="6"/>
    </w:pPr>
    <w:rPr>
      <w:rFonts w:ascii="Arial" w:hAnsi="Arial" w:cs="Arial"/>
      <w:b/>
    </w:rPr>
  </w:style>
  <w:style w:type="paragraph" w:styleId="Heading8">
    <w:name w:val="heading 8"/>
    <w:basedOn w:val="Normal"/>
    <w:next w:val="Normal"/>
    <w:qFormat/>
    <w:pPr>
      <w:keepNext w:val="true"/>
      <w:numPr>
        <w:ilvl w:val="7"/>
        <w:numId w:val="1"/>
      </w:numPr>
      <w:ind w:firstLine="180" w:start="1260" w:end="0"/>
      <w:outlineLvl w:val="7"/>
    </w:pPr>
    <w:rPr>
      <w:b/>
      <w:sz w:val="40"/>
    </w:rPr>
  </w:style>
  <w:style w:type="paragraph" w:styleId="Heading9">
    <w:name w:val="heading 9"/>
    <w:basedOn w:val="Normal"/>
    <w:next w:val="Normal"/>
    <w:qFormat/>
    <w:pPr>
      <w:keepNext w:val="true"/>
      <w:numPr>
        <w:ilvl w:val="8"/>
        <w:numId w:val="1"/>
      </w:numPr>
      <w:spacing w:before="120" w:after="120"/>
      <w:ind w:hanging="0" w:start="720" w:end="0"/>
      <w:outlineLvl w:val="8"/>
    </w:pPr>
    <w:rPr>
      <w:rFonts w:ascii="Arial" w:hAnsi="Arial" w:cs="Arial"/>
      <w:vanish/>
      <w:color w:val="FF0000"/>
      <w:sz w:val="18"/>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b w:val="false"/>
      <w:i w:val="false"/>
      <w:sz w:val="14"/>
      <w:u w:val="none"/>
    </w:rPr>
  </w:style>
  <w:style w:type="character" w:styleId="WW8Num13z0">
    <w:name w:val="WW8Num13z0"/>
    <w:qFormat/>
    <w:rPr>
      <w:rFonts w:ascii="Wingdings" w:hAnsi="Wingdings" w:cs="Wingdings"/>
      <w:b/>
      <w:i/>
      <w:sz w:val="24"/>
    </w:rPr>
  </w:style>
  <w:style w:type="character" w:styleId="WW8Num15z0">
    <w:name w:val="WW8Num15z0"/>
    <w:qFormat/>
    <w:rPr/>
  </w:style>
  <w:style w:type="character" w:styleId="WW8Num16z0">
    <w:name w:val="WW8Num16z0"/>
    <w:qFormat/>
    <w:rPr/>
  </w:style>
  <w:style w:type="character" w:styleId="WW8Num23z0">
    <w:name w:val="WW8Num23z0"/>
    <w:qFormat/>
    <w:rPr>
      <w:rFonts w:ascii="Wingdings" w:hAnsi="Wingdings" w:cs="Wingdings"/>
      <w:b/>
      <w:i/>
      <w:sz w:val="24"/>
    </w:rPr>
  </w:style>
  <w:style w:type="character" w:styleId="WW8Num24z0">
    <w:name w:val="WW8Num24z0"/>
    <w:qFormat/>
    <w:rPr>
      <w:rFonts w:ascii="Symbol" w:hAnsi="Symbol" w:cs="Symbol"/>
      <w:sz w:val="14"/>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color w:val="auto"/>
      <w:sz w:val="20"/>
    </w:rPr>
  </w:style>
  <w:style w:type="character" w:styleId="WW8Num27z0">
    <w:name w:val="WW8Num27z0"/>
    <w:qFormat/>
    <w:rPr/>
  </w:style>
  <w:style w:type="character" w:styleId="WW8Num28z0">
    <w:name w:val="WW8Num28z0"/>
    <w:qFormat/>
    <w:rPr>
      <w:rFonts w:ascii="Wingdings" w:hAnsi="Wingdings" w:cs="Wingdings"/>
      <w:b w:val="false"/>
      <w:i w:val="false"/>
      <w:color w:val="auto"/>
      <w:sz w:val="12"/>
      <w:u w:val="none"/>
      <w:vertAlign w:val="superscript"/>
    </w:rPr>
  </w:style>
  <w:style w:type="character" w:styleId="WW8Num29z0">
    <w:name w:val="WW8Num29z0"/>
    <w:qFormat/>
    <w:rPr>
      <w:rFonts w:ascii="Symbol" w:hAnsi="Symbol" w:cs="Symbol"/>
      <w:u w:val="none"/>
      <w:vertAlign w:val="superscript"/>
    </w:rPr>
  </w:style>
  <w:style w:type="character" w:styleId="WW8Num31z0">
    <w:name w:val="WW8Num31z0"/>
    <w:qFormat/>
    <w:rPr>
      <w:rFonts w:ascii="Symbol" w:hAnsi="Symbol" w:cs="Symbol"/>
      <w:b w:val="false"/>
      <w:i w:val="false"/>
      <w:color w:val="auto"/>
      <w:sz w:val="28"/>
      <w:u w:val="none"/>
      <w:vertAlign w:val="superscript"/>
    </w:rPr>
  </w:style>
  <w:style w:type="character" w:styleId="WW8Num32z0">
    <w:name w:val="WW8Num32z0"/>
    <w:qFormat/>
    <w:rPr>
      <w:caps w:val="false"/>
      <w:smallCaps w:val="false"/>
      <w:strike w:val="false"/>
      <w:dstrike w:val="false"/>
      <w:outline w:val="false"/>
      <w:shadow w:val="false"/>
      <w:vanish w:val="false"/>
      <w:color w:val="auto"/>
      <w:kern w:val="0"/>
      <w:position w:val="0"/>
      <w:sz w:val="24"/>
      <w:vertAlign w:val="baseline"/>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u w:val="none"/>
      <w:vertAlign w:val="superscript"/>
    </w:rPr>
  </w:style>
  <w:style w:type="character" w:styleId="WW8Num36z0">
    <w:name w:val="WW8Num36z0"/>
    <w:qFormat/>
    <w:rPr>
      <w:rFonts w:ascii="Wingdings" w:hAnsi="Wingdings" w:cs="Wingdings"/>
      <w:b/>
      <w:i w:val="false"/>
      <w:color w:val="auto"/>
      <w:sz w:val="28"/>
      <w:u w:val="none"/>
    </w:rPr>
  </w:style>
  <w:style w:type="character" w:styleId="WW8Num37z0">
    <w:name w:val="WW8Num37z0"/>
    <w:qFormat/>
    <w:rPr>
      <w:rFonts w:ascii="Wingdings" w:hAnsi="Wingdings" w:cs="Wingdings"/>
    </w:rPr>
  </w:style>
  <w:style w:type="character" w:styleId="WW8Num38z0">
    <w:name w:val="WW8Num38z0"/>
    <w:qFormat/>
    <w:rPr>
      <w:caps w:val="false"/>
      <w:smallCaps w:val="false"/>
      <w:strike w:val="false"/>
      <w:dstrike w:val="false"/>
      <w:outline w:val="false"/>
      <w:shadow w:val="false"/>
      <w:vanish w:val="false"/>
      <w:color w:val="auto"/>
      <w:kern w:val="0"/>
      <w:position w:val="0"/>
      <w:sz w:val="24"/>
      <w:vertAlign w:val="baseline"/>
    </w:rPr>
  </w:style>
  <w:style w:type="character" w:styleId="WW8Num39z0">
    <w:name w:val="WW8Num39z0"/>
    <w:qFormat/>
    <w:rPr>
      <w:rFonts w:ascii="Wingdings" w:hAnsi="Wingdings" w:cs="Wingdings"/>
      <w:b w:val="false"/>
      <w:i w:val="false"/>
      <w:color w:val="auto"/>
      <w:sz w:val="10"/>
      <w:u w:val="none"/>
      <w:vertAlign w:val="superscript"/>
    </w:rPr>
  </w:style>
  <w:style w:type="character" w:styleId="WW8Num40z0">
    <w:name w:val="WW8Num40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41z0">
    <w:name w:val="WW8Num41z0"/>
    <w:qFormat/>
    <w:rPr>
      <w:rFonts w:ascii="Wingdings" w:hAnsi="Wingdings" w:cs="Wingdings"/>
      <w:b w:val="false"/>
      <w:i/>
      <w:color w:val="auto"/>
      <w:sz w:val="16"/>
      <w:u w:val="none"/>
    </w:rPr>
  </w:style>
  <w:style w:type="character" w:styleId="WW8Num43z0">
    <w:name w:val="WW8Num43z0"/>
    <w:qFormat/>
    <w:rPr>
      <w:rFonts w:ascii="Wingdings" w:hAnsi="Wingdings" w:cs="Wingdings"/>
    </w:rPr>
  </w:style>
  <w:style w:type="character" w:styleId="WW8Num47z0">
    <w:name w:val="WW8Num47z0"/>
    <w:qFormat/>
    <w:rPr>
      <w:rFonts w:ascii="Wingdings" w:hAnsi="Wingdings" w:cs="Wingdings"/>
      <w:b w:val="false"/>
      <w:i w:val="false"/>
      <w:color w:val="auto"/>
      <w:sz w:val="10"/>
      <w:u w:val="none"/>
      <w:vertAlign w:val="superscript"/>
    </w:rPr>
  </w:style>
  <w:style w:type="character" w:styleId="WW8Num48z0">
    <w:name w:val="WW8Num48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49z0">
    <w:name w:val="WW8Num49z0"/>
    <w:qFormat/>
    <w:rPr>
      <w:rFonts w:ascii="Wingdings" w:hAnsi="Wingdings" w:cs="Wingdings"/>
      <w:b w:val="false"/>
      <w:i w:val="false"/>
      <w:color w:val="auto"/>
      <w:sz w:val="24"/>
      <w:u w:val="none"/>
    </w:rPr>
  </w:style>
  <w:style w:type="character" w:styleId="WW8Num52z0">
    <w:name w:val="WW8Num52z0"/>
    <w:qFormat/>
    <w:rPr>
      <w:rFonts w:ascii="Symbol" w:hAnsi="Symbol" w:cs="Symbol"/>
      <w:sz w:val="18"/>
    </w:rPr>
  </w:style>
  <w:style w:type="character" w:styleId="WW8Num53z0">
    <w:name w:val="WW8Num53z0"/>
    <w:qFormat/>
    <w:rPr/>
  </w:style>
  <w:style w:type="character" w:styleId="WW8Num56z0">
    <w:name w:val="WW8Num56z0"/>
    <w:qFormat/>
    <w:rPr/>
  </w:style>
  <w:style w:type="character" w:styleId="WW8Num57z0">
    <w:name w:val="WW8Num57z0"/>
    <w:qFormat/>
    <w:rPr>
      <w:rFonts w:ascii="Wingdings" w:hAnsi="Wingdings" w:cs="Wingdings"/>
      <w:b w:val="false"/>
      <w:i w:val="false"/>
      <w:color w:val="auto"/>
      <w:sz w:val="20"/>
      <w:u w:val="none"/>
    </w:rPr>
  </w:style>
  <w:style w:type="character" w:styleId="WW8Num59z0">
    <w:name w:val="WW8Num59z0"/>
    <w:qFormat/>
    <w:rPr/>
  </w:style>
  <w:style w:type="character" w:styleId="WW8Num62z0">
    <w:name w:val="WW8Num62z0"/>
    <w:qFormat/>
    <w:rPr/>
  </w:style>
  <w:style w:type="character" w:styleId="WW8Num64z0">
    <w:name w:val="WW8Num64z0"/>
    <w:qFormat/>
    <w:rPr>
      <w:rFonts w:ascii="Wingdings" w:hAnsi="Wingdings" w:cs="Wingdings"/>
    </w:rPr>
  </w:style>
  <w:style w:type="character" w:styleId="WW8Num66z0">
    <w:name w:val="WW8Num66z0"/>
    <w:qFormat/>
    <w:rPr>
      <w:rFonts w:ascii="Wingdings" w:hAnsi="Wingdings" w:cs="Wingdings"/>
      <w:b w:val="false"/>
      <w:i w:val="false"/>
      <w:color w:val="auto"/>
      <w:sz w:val="24"/>
    </w:rPr>
  </w:style>
  <w:style w:type="character" w:styleId="WW8Num67z0">
    <w:name w:val="WW8Num67z0"/>
    <w:qFormat/>
    <w:rPr>
      <w:rFonts w:ascii="Wingdings" w:hAnsi="Wingdings" w:cs="Wingdings"/>
      <w:sz w:val="28"/>
    </w:rPr>
  </w:style>
  <w:style w:type="character" w:styleId="WW8Num68z0">
    <w:name w:val="WW8Num68z0"/>
    <w:qFormat/>
    <w:rPr>
      <w:rFonts w:ascii="Wingdings" w:hAnsi="Wingdings" w:cs="Wingdings"/>
      <w:color w:val="auto"/>
      <w:sz w:val="20"/>
    </w:rPr>
  </w:style>
  <w:style w:type="character" w:styleId="WW8Num69z0">
    <w:name w:val="WW8Num69z0"/>
    <w:qFormat/>
    <w:rPr>
      <w:rFonts w:ascii="Symbol" w:hAnsi="Symbol" w:cs="Symbol"/>
    </w:rPr>
  </w:style>
  <w:style w:type="character" w:styleId="WW8Num70z0">
    <w:name w:val="WW8Num70z0"/>
    <w:qFormat/>
    <w:rPr>
      <w:rFonts w:ascii="Wingdings" w:hAnsi="Wingdings" w:cs="Wingdings"/>
      <w:b w:val="false"/>
      <w:i w:val="false"/>
      <w:color w:val="auto"/>
      <w:sz w:val="28"/>
      <w:u w:val="none"/>
      <w:vertAlign w:val="superscript"/>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b w:val="false"/>
      <w:i w:val="false"/>
      <w:color w:val="auto"/>
      <w:sz w:val="28"/>
      <w:u w:val="none"/>
    </w:rPr>
  </w:style>
  <w:style w:type="character" w:styleId="WW8Num73z0">
    <w:name w:val="WW8Num73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74z0">
    <w:name w:val="WW8Num74z0"/>
    <w:qFormat/>
    <w:rPr>
      <w:rFonts w:ascii="Wingdings" w:hAnsi="Wingdings" w:cs="Wingdings"/>
      <w:b w:val="false"/>
      <w:i w:val="false"/>
      <w:color w:val="auto"/>
      <w:sz w:val="20"/>
      <w:u w:val="none"/>
    </w:rPr>
  </w:style>
  <w:style w:type="character" w:styleId="WW8Num75z0">
    <w:name w:val="WW8Num75z0"/>
    <w:qFormat/>
    <w:rPr>
      <w:rFonts w:ascii="Wingdings" w:hAnsi="Wingdings" w:cs="Wingdings"/>
      <w:b w:val="false"/>
      <w:i/>
      <w:color w:val="auto"/>
      <w:sz w:val="16"/>
      <w:u w:val="none"/>
    </w:rPr>
  </w:style>
  <w:style w:type="character" w:styleId="WW8Num76z0">
    <w:name w:val="WW8Num76z0"/>
    <w:qFormat/>
    <w:rPr>
      <w:rFonts w:ascii="Wingdings" w:hAnsi="Wingdings" w:cs="Wingdings"/>
      <w:sz w:val="16"/>
    </w:rPr>
  </w:style>
  <w:style w:type="character" w:styleId="WW8Num77z0">
    <w:name w:val="WW8Num77z0"/>
    <w:qFormat/>
    <w:rPr>
      <w:rFonts w:ascii="Wingdings" w:hAnsi="Wingdings" w:cs="Wingdings"/>
    </w:rPr>
  </w:style>
  <w:style w:type="character" w:styleId="WW8Num78z0">
    <w:name w:val="WW8Num78z0"/>
    <w:qFormat/>
    <w:rPr/>
  </w:style>
  <w:style w:type="character" w:styleId="WW8Num82z0">
    <w:name w:val="WW8Num82z0"/>
    <w:qFormat/>
    <w:rPr>
      <w:rFonts w:ascii="Wingdings" w:hAnsi="Wingdings" w:cs="Wingdings"/>
      <w:b w:val="false"/>
      <w:i w:val="false"/>
      <w:color w:val="auto"/>
      <w:sz w:val="10"/>
      <w:u w:val="none"/>
      <w:vertAlign w:val="superscript"/>
    </w:rPr>
  </w:style>
  <w:style w:type="character" w:styleId="WW8Num83z0">
    <w:name w:val="WW8Num83z0"/>
    <w:qFormat/>
    <w:rPr>
      <w:rFonts w:ascii="Wingdings" w:hAnsi="Wingdings" w:cs="Wingdings"/>
      <w:b w:val="false"/>
      <w:i w:val="false"/>
      <w:color w:val="auto"/>
      <w:sz w:val="12"/>
      <w:u w:val="none"/>
      <w:vertAlign w:val="superscript"/>
    </w:rPr>
  </w:style>
  <w:style w:type="character" w:styleId="WW8Num86z0">
    <w:name w:val="WW8Num86z0"/>
    <w:qFormat/>
    <w:rPr/>
  </w:style>
  <w:style w:type="character" w:styleId="WW8Num87z0">
    <w:name w:val="WW8Num87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88z0">
    <w:name w:val="WW8Num88z0"/>
    <w:qFormat/>
    <w:rPr>
      <w:rFonts w:ascii="Wingdings" w:hAnsi="Wingdings" w:cs="Wingdings"/>
    </w:rPr>
  </w:style>
  <w:style w:type="character" w:styleId="WW8Num89z0">
    <w:name w:val="WW8Num89z0"/>
    <w:qFormat/>
    <w:rPr>
      <w:rFonts w:ascii="Wingdings" w:hAnsi="Wingdings" w:cs="Wingdings"/>
    </w:rPr>
  </w:style>
  <w:style w:type="character" w:styleId="WW8Num90z0">
    <w:name w:val="WW8Num90z0"/>
    <w:qFormat/>
    <w:rPr>
      <w:rFonts w:ascii="Wingdings" w:hAnsi="Wingdings" w:cs="Wingdings"/>
    </w:rPr>
  </w:style>
  <w:style w:type="character" w:styleId="WW8Num91z0">
    <w:name w:val="WW8Num91z0"/>
    <w:qFormat/>
    <w:rPr>
      <w:rFonts w:ascii="Wingdings" w:hAnsi="Wingdings" w:cs="Wingdings"/>
      <w:b w:val="false"/>
      <w:i/>
      <w:color w:val="auto"/>
      <w:sz w:val="16"/>
      <w:u w:val="none"/>
    </w:rPr>
  </w:style>
  <w:style w:type="character" w:styleId="WW8Num92z0">
    <w:name w:val="WW8Num92z0"/>
    <w:qFormat/>
    <w:rPr/>
  </w:style>
  <w:style w:type="character" w:styleId="WW8Num94z0">
    <w:name w:val="WW8Num94z0"/>
    <w:qFormat/>
    <w:rPr>
      <w:rFonts w:ascii="Wingdings" w:hAnsi="Wingdings" w:cs="Wingdings"/>
      <w:b w:val="false"/>
      <w:i w:val="false"/>
      <w:color w:val="auto"/>
      <w:sz w:val="12"/>
      <w:u w:val="none"/>
      <w:vertAlign w:val="superscript"/>
    </w:rPr>
  </w:style>
  <w:style w:type="character" w:styleId="WW8Num95z0">
    <w:name w:val="WW8Num95z0"/>
    <w:qFormat/>
    <w:rPr>
      <w:rFonts w:ascii="Wingdings" w:hAnsi="Wingdings" w:cs="Wingdings"/>
    </w:rPr>
  </w:style>
  <w:style w:type="character" w:styleId="WW8Num96z0">
    <w:name w:val="WW8Num96z0"/>
    <w:qFormat/>
    <w:rPr>
      <w:rFonts w:ascii="Wingdings" w:hAnsi="Wingdings" w:cs="Wingdings"/>
    </w:rPr>
  </w:style>
  <w:style w:type="character" w:styleId="WW8Num97z0">
    <w:name w:val="WW8Num97z0"/>
    <w:qFormat/>
    <w:rPr>
      <w:rFonts w:ascii="Wingdings" w:hAnsi="Wingdings" w:cs="Wingdings"/>
      <w:b w:val="false"/>
      <w:i/>
      <w:color w:val="auto"/>
      <w:sz w:val="16"/>
      <w:u w:val="none"/>
    </w:rPr>
  </w:style>
  <w:style w:type="character" w:styleId="WW8Num98z0">
    <w:name w:val="WW8Num98z0"/>
    <w:qFormat/>
    <w:rPr>
      <w:rFonts w:ascii="Symbol" w:hAnsi="Symbol" w:cs="Symbol"/>
    </w:rPr>
  </w:style>
  <w:style w:type="character" w:styleId="WW8Num99z0">
    <w:name w:val="WW8Num99z0"/>
    <w:qFormat/>
    <w:rPr>
      <w:rFonts w:ascii="Wingdings" w:hAnsi="Wingdings" w:cs="Wingdings"/>
      <w:sz w:val="20"/>
    </w:rPr>
  </w:style>
  <w:style w:type="character" w:styleId="WW8Num101z0">
    <w:name w:val="WW8Num101z0"/>
    <w:qFormat/>
    <w:rPr>
      <w:rFonts w:ascii="Symbol" w:hAnsi="Symbol" w:cs="Symbol"/>
      <w:color w:val="auto"/>
      <w:position w:val="0"/>
      <w:sz w:val="24"/>
      <w:u w:val="none"/>
      <w:vertAlign w:val="baseline"/>
    </w:rPr>
  </w:style>
  <w:style w:type="character" w:styleId="WW8Num102z0">
    <w:name w:val="WW8Num102z0"/>
    <w:qFormat/>
    <w:rPr/>
  </w:style>
  <w:style w:type="character" w:styleId="WW8Num103z0">
    <w:name w:val="WW8Num103z0"/>
    <w:qFormat/>
    <w:rPr/>
  </w:style>
  <w:style w:type="character" w:styleId="WW8Num106z0">
    <w:name w:val="WW8Num106z0"/>
    <w:qFormat/>
    <w:rPr>
      <w:rFonts w:ascii="Wingdings" w:hAnsi="Wingdings" w:cs="Wingdings"/>
    </w:rPr>
  </w:style>
  <w:style w:type="character" w:styleId="WW8Num109z0">
    <w:name w:val="WW8Num109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b w:val="false"/>
      <w:i w:val="false"/>
      <w:color w:val="auto"/>
      <w:sz w:val="28"/>
      <w:u w:val="none"/>
      <w:vertAlign w:val="superscript"/>
    </w:rPr>
  </w:style>
  <w:style w:type="character" w:styleId="WW8Num112z0">
    <w:name w:val="WW8Num112z0"/>
    <w:qFormat/>
    <w:rPr>
      <w:rFonts w:ascii="Wingdings" w:hAnsi="Wingdings" w:cs="Wingdings"/>
      <w:b w:val="false"/>
      <w:i w:val="false"/>
      <w:color w:val="auto"/>
      <w:sz w:val="10"/>
      <w:u w:val="none"/>
      <w:vertAlign w:val="superscript"/>
    </w:rPr>
  </w:style>
  <w:style w:type="character" w:styleId="WW8Num113z0">
    <w:name w:val="WW8Num113z0"/>
    <w:qFormat/>
    <w:rPr>
      <w:rFonts w:ascii="Wingdings" w:hAnsi="Wingdings" w:cs="Wingdings"/>
      <w:b w:val="false"/>
      <w:i w:val="false"/>
      <w:color w:val="auto"/>
      <w:sz w:val="28"/>
      <w:u w:val="none"/>
    </w:rPr>
  </w:style>
  <w:style w:type="character" w:styleId="WW8Num115z0">
    <w:name w:val="WW8Num115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16z0">
    <w:name w:val="WW8Num116z0"/>
    <w:qFormat/>
    <w:rPr/>
  </w:style>
  <w:style w:type="character" w:styleId="WW8Num117z0">
    <w:name w:val="WW8Num117z0"/>
    <w:qFormat/>
    <w:rPr>
      <w:rFonts w:ascii="Wingdings" w:hAnsi="Wingdings" w:cs="Wingdings"/>
    </w:rPr>
  </w:style>
  <w:style w:type="character" w:styleId="WW8Num119z0">
    <w:name w:val="WW8Num119z0"/>
    <w:qFormat/>
    <w:rPr>
      <w:rFonts w:ascii="Wingdings" w:hAnsi="Wingdings" w:cs="Wingdings"/>
      <w:color w:val="auto"/>
    </w:rPr>
  </w:style>
  <w:style w:type="character" w:styleId="WW8Num120z0">
    <w:name w:val="WW8Num120z0"/>
    <w:qFormat/>
    <w:rPr>
      <w:caps w:val="false"/>
      <w:smallCaps w:val="false"/>
      <w:strike w:val="false"/>
      <w:dstrike w:val="false"/>
      <w:outline w:val="false"/>
      <w:shadow w:val="false"/>
      <w:vanish w:val="false"/>
      <w:color w:val="auto"/>
      <w:kern w:val="0"/>
      <w:position w:val="0"/>
      <w:sz w:val="24"/>
      <w:vertAlign w:val="baseline"/>
    </w:rPr>
  </w:style>
  <w:style w:type="character" w:styleId="WW8Num121z0">
    <w:name w:val="WW8Num121z0"/>
    <w:qFormat/>
    <w:rPr>
      <w:rFonts w:ascii="Wingdings" w:hAnsi="Wingdings" w:cs="Wingdings"/>
      <w:b w:val="false"/>
      <w:i/>
      <w:color w:val="auto"/>
      <w:sz w:val="16"/>
      <w:u w:val="none"/>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rFonts w:ascii="Wingdings" w:hAnsi="Wingdings" w:cs="Wingdings"/>
      <w:sz w:val="16"/>
    </w:rPr>
  </w:style>
  <w:style w:type="character" w:styleId="WW8Num132z0">
    <w:name w:val="WW8Num132z0"/>
    <w:qFormat/>
    <w:rPr>
      <w:rFonts w:ascii="Wingdings" w:hAnsi="Wingdings" w:cs="Wingdings"/>
      <w:color w:val="auto"/>
      <w:sz w:val="20"/>
    </w:rPr>
  </w:style>
  <w:style w:type="character" w:styleId="WW8Num133z0">
    <w:name w:val="WW8Num133z0"/>
    <w:qFormat/>
    <w:rPr>
      <w:rFonts w:ascii="Arial" w:hAnsi="Arial" w:cs="Arial"/>
      <w:b/>
      <w:i/>
      <w:color w:val="auto"/>
      <w:sz w:val="24"/>
      <w:u w:val="none"/>
    </w:rPr>
  </w:style>
  <w:style w:type="character" w:styleId="WW8Num135z0">
    <w:name w:val="WW8Num135z0"/>
    <w:qFormat/>
    <w:rPr>
      <w:rFonts w:ascii="Symbol" w:hAnsi="Symbol" w:cs="Symbol"/>
    </w:rPr>
  </w:style>
  <w:style w:type="character" w:styleId="WW8Num137z0">
    <w:name w:val="WW8Num137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39z0">
    <w:name w:val="WW8Num139z0"/>
    <w:qFormat/>
    <w:rPr/>
  </w:style>
  <w:style w:type="character" w:styleId="WW8Num141z0">
    <w:name w:val="WW8Num141z0"/>
    <w:qFormat/>
    <w:rPr>
      <w:rFonts w:ascii="Wingdings" w:hAnsi="Wingdings" w:cs="Wingdings"/>
    </w:rPr>
  </w:style>
  <w:style w:type="character" w:styleId="WW8Num145z0">
    <w:name w:val="WW8Num145z0"/>
    <w:qFormat/>
    <w:rPr>
      <w:rFonts w:ascii="Wingdings" w:hAnsi="Wingdings" w:cs="Wingdings"/>
    </w:rPr>
  </w:style>
  <w:style w:type="character" w:styleId="WW8Num146z0">
    <w:name w:val="WW8Num146z0"/>
    <w:qFormat/>
    <w:rPr>
      <w:rFonts w:ascii="Wingdings" w:hAnsi="Wingdings" w:cs="Wingdings"/>
    </w:rPr>
  </w:style>
  <w:style w:type="character" w:styleId="WW8Num149z0">
    <w:name w:val="WW8Num149z0"/>
    <w:qFormat/>
    <w:rPr/>
  </w:style>
  <w:style w:type="character" w:styleId="WW8Num153z0">
    <w:name w:val="WW8Num153z0"/>
    <w:qFormat/>
    <w:rPr>
      <w:rFonts w:ascii="Symbol" w:hAnsi="Symbol" w:cs="Symbol"/>
      <w:sz w:val="12"/>
    </w:rPr>
  </w:style>
  <w:style w:type="character" w:styleId="WW8Num155z0">
    <w:name w:val="WW8Num155z0"/>
    <w:qFormat/>
    <w:rPr>
      <w:rFonts w:ascii="Wingdings" w:hAnsi="Wingdings" w:cs="Wingdings"/>
      <w:sz w:val="16"/>
    </w:rPr>
  </w:style>
  <w:style w:type="character" w:styleId="WW8Num156z0">
    <w:name w:val="WW8Num156z0"/>
    <w:qFormat/>
    <w:rPr/>
  </w:style>
  <w:style w:type="character" w:styleId="WW8Num157z0">
    <w:name w:val="WW8Num157z0"/>
    <w:qFormat/>
    <w:rPr>
      <w:caps w:val="false"/>
      <w:smallCaps w:val="false"/>
      <w:strike w:val="false"/>
      <w:dstrike w:val="false"/>
      <w:outline w:val="false"/>
      <w:shadow w:val="false"/>
      <w:vanish w:val="false"/>
      <w:color w:val="auto"/>
      <w:kern w:val="0"/>
      <w:position w:val="0"/>
      <w:sz w:val="24"/>
      <w:vertAlign w:val="baseline"/>
    </w:rPr>
  </w:style>
  <w:style w:type="character" w:styleId="WW8Num158z0">
    <w:name w:val="WW8Num158z0"/>
    <w:qFormat/>
    <w:rPr>
      <w:rFonts w:ascii="Wingdings" w:hAnsi="Wingdings" w:cs="Wingdings"/>
      <w:sz w:val="16"/>
    </w:rPr>
  </w:style>
  <w:style w:type="character" w:styleId="WW8Num161z0">
    <w:name w:val="WW8Num161z0"/>
    <w:qFormat/>
    <w:rPr>
      <w:rFonts w:ascii="Wingdings" w:hAnsi="Wingdings" w:cs="Wingdings"/>
      <w:b/>
      <w:i/>
      <w:sz w:val="24"/>
    </w:rPr>
  </w:style>
  <w:style w:type="character" w:styleId="WW8Num163z0">
    <w:name w:val="WW8Num163z0"/>
    <w:qFormat/>
    <w:rPr>
      <w:rFonts w:ascii="Wingdings" w:hAnsi="Wingdings" w:cs="Wingdings"/>
    </w:rPr>
  </w:style>
  <w:style w:type="character" w:styleId="WW8Num165z0">
    <w:name w:val="WW8Num165z0"/>
    <w:qFormat/>
    <w:rPr>
      <w:rFonts w:ascii="Wingdings" w:hAnsi="Wingdings" w:cs="Wingdings"/>
      <w:color w:val="auto"/>
      <w:sz w:val="20"/>
    </w:rPr>
  </w:style>
  <w:style w:type="character" w:styleId="WW8Num166z0">
    <w:name w:val="WW8Num166z0"/>
    <w:qFormat/>
    <w:rPr>
      <w:rFonts w:ascii="Wingdings" w:hAnsi="Wingdings" w:cs="Wingdings"/>
      <w:b w:val="false"/>
      <w:i w:val="false"/>
      <w:color w:val="auto"/>
      <w:sz w:val="10"/>
      <w:u w:val="none"/>
      <w:vertAlign w:val="superscript"/>
    </w:rPr>
  </w:style>
  <w:style w:type="character" w:styleId="WW8Num167z0">
    <w:name w:val="WW8Num167z0"/>
    <w:qFormat/>
    <w:rPr/>
  </w:style>
  <w:style w:type="character" w:styleId="WW8Num168z0">
    <w:name w:val="WW8Num168z0"/>
    <w:qFormat/>
    <w:rPr>
      <w:rFonts w:ascii="Wingdings" w:hAnsi="Wingdings" w:cs="Wingdings"/>
      <w:b w:val="false"/>
      <w:i w:val="false"/>
      <w:color w:val="auto"/>
      <w:sz w:val="28"/>
      <w:u w:val="none"/>
    </w:rPr>
  </w:style>
  <w:style w:type="character" w:styleId="WW8Num170z0">
    <w:name w:val="WW8Num170z0"/>
    <w:qFormat/>
    <w:rPr>
      <w:rFonts w:ascii="Wingdings" w:hAnsi="Wingdings" w:cs="Wingdings"/>
    </w:rPr>
  </w:style>
  <w:style w:type="character" w:styleId="WW8Num171z0">
    <w:name w:val="WW8Num171z0"/>
    <w:qFormat/>
    <w:rPr>
      <w:rFonts w:ascii="Wingdings" w:hAnsi="Wingdings" w:cs="Wingdings"/>
    </w:rPr>
  </w:style>
  <w:style w:type="character" w:styleId="WW8Num172z0">
    <w:name w:val="WW8Num172z0"/>
    <w:qFormat/>
    <w:rPr>
      <w:rFonts w:ascii="Wingdings" w:hAnsi="Wingdings" w:cs="Wingdings"/>
    </w:rPr>
  </w:style>
  <w:style w:type="character" w:styleId="WW8Num173z0">
    <w:name w:val="WW8Num173z0"/>
    <w:qFormat/>
    <w:rPr>
      <w:rFonts w:ascii="Wingdings" w:hAnsi="Wingdings" w:cs="Wingdings"/>
    </w:rPr>
  </w:style>
  <w:style w:type="character" w:styleId="WW8Num174z0">
    <w:name w:val="WW8Num174z0"/>
    <w:qFormat/>
    <w:rPr>
      <w:rFonts w:ascii="Wingdings" w:hAnsi="Wingdings" w:cs="Wingdings"/>
      <w:b w:val="false"/>
      <w:i/>
      <w:color w:val="auto"/>
      <w:sz w:val="16"/>
      <w:u w:val="none"/>
    </w:rPr>
  </w:style>
  <w:style w:type="character" w:styleId="WW8Num176z0">
    <w:name w:val="WW8Num176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78z0">
    <w:name w:val="WW8Num178z0"/>
    <w:qFormat/>
    <w:rPr/>
  </w:style>
  <w:style w:type="character" w:styleId="WW8Num179z0">
    <w:name w:val="WW8Num179z0"/>
    <w:qFormat/>
    <w:rPr/>
  </w:style>
  <w:style w:type="character" w:styleId="WW8Num180z0">
    <w:name w:val="WW8Num180z0"/>
    <w:qFormat/>
    <w:rPr>
      <w:rFonts w:ascii="Symbol" w:hAnsi="Symbol" w:cs="Symbol"/>
      <w:u w:val="none"/>
      <w:vertAlign w:val="superscript"/>
    </w:rPr>
  </w:style>
  <w:style w:type="character" w:styleId="WW8Num181z0">
    <w:name w:val="WW8Num181z0"/>
    <w:qFormat/>
    <w:rPr>
      <w:rFonts w:ascii="Wingdings" w:hAnsi="Wingdings" w:cs="Wingdings"/>
      <w:b w:val="false"/>
      <w:i w:val="false"/>
      <w:color w:val="auto"/>
      <w:sz w:val="20"/>
      <w:u w:val="none"/>
      <w:vertAlign w:val="superscript"/>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vertAlign w:val="superscript"/>
    </w:rPr>
  </w:style>
  <w:style w:type="character" w:styleId="WW8Num187z0">
    <w:name w:val="WW8Num187z0"/>
    <w:qFormat/>
    <w:rPr>
      <w:rFonts w:ascii="Wingdings" w:hAnsi="Wingdings" w:cs="Wingdings"/>
      <w:b w:val="false"/>
      <w:i w:val="false"/>
      <w:color w:val="auto"/>
      <w:sz w:val="20"/>
      <w:u w:val="none"/>
      <w:vertAlign w:val="superscript"/>
    </w:rPr>
  </w:style>
  <w:style w:type="character" w:styleId="WW8Num188z0">
    <w:name w:val="WW8Num188z0"/>
    <w:qFormat/>
    <w:rPr>
      <w:rFonts w:ascii="Wingdings" w:hAnsi="Wingdings" w:cs="Wingdings"/>
    </w:rPr>
  </w:style>
  <w:style w:type="character" w:styleId="WW8Num189z0">
    <w:name w:val="WW8Num189z0"/>
    <w:qFormat/>
    <w:rPr>
      <w:caps w:val="false"/>
      <w:smallCaps w:val="false"/>
      <w:strike w:val="false"/>
      <w:dstrike w:val="false"/>
      <w:outline w:val="false"/>
      <w:shadow w:val="false"/>
      <w:vanish w:val="false"/>
      <w:color w:val="auto"/>
      <w:kern w:val="0"/>
      <w:position w:val="0"/>
      <w:sz w:val="24"/>
      <w:vertAlign w:val="baseline"/>
    </w:rPr>
  </w:style>
  <w:style w:type="character" w:styleId="WW8Num190z0">
    <w:name w:val="WW8Num190z0"/>
    <w:qFormat/>
    <w:rPr>
      <w:caps w:val="false"/>
      <w:smallCaps w:val="false"/>
      <w:strike w:val="false"/>
      <w:dstrike w:val="false"/>
      <w:outline w:val="false"/>
      <w:shadow w:val="false"/>
      <w:vanish w:val="false"/>
      <w:color w:val="auto"/>
      <w:kern w:val="0"/>
      <w:position w:val="0"/>
      <w:sz w:val="24"/>
      <w:vertAlign w:val="baseline"/>
    </w:rPr>
  </w:style>
  <w:style w:type="character" w:styleId="WW8Num192z0">
    <w:name w:val="WW8Num192z0"/>
    <w:qFormat/>
    <w:rPr>
      <w:rFonts w:ascii="Wingdings" w:hAnsi="Wingdings" w:cs="Wingdings"/>
      <w:b w:val="false"/>
      <w:i w:val="false"/>
      <w:sz w:val="10"/>
      <w:vertAlign w:val="superscript"/>
    </w:rPr>
  </w:style>
  <w:style w:type="character" w:styleId="WW8Num193z0">
    <w:name w:val="WW8Num193z0"/>
    <w:qFormat/>
    <w:rPr>
      <w:rFonts w:ascii="Wingdings" w:hAnsi="Wingdings" w:cs="Wingdings"/>
    </w:rPr>
  </w:style>
  <w:style w:type="character" w:styleId="WW8Num194z0">
    <w:name w:val="WW8Num194z0"/>
    <w:qFormat/>
    <w:rPr>
      <w:rFonts w:ascii="Wingdings" w:hAnsi="Wingdings" w:cs="Wingdings"/>
      <w:b w:val="false"/>
      <w:i/>
      <w:color w:val="auto"/>
      <w:sz w:val="16"/>
      <w:u w:val="none"/>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Wingdings" w:hAnsi="Wingdings" w:cs="Wingdings"/>
      <w:b w:val="false"/>
      <w:i w:val="false"/>
      <w:color w:val="auto"/>
      <w:sz w:val="16"/>
      <w:u w:val="none"/>
    </w:rPr>
  </w:style>
  <w:style w:type="character" w:styleId="WW8Num200z0">
    <w:name w:val="WW8Num200z0"/>
    <w:qFormat/>
    <w:rPr>
      <w:rFonts w:ascii="Wingdings" w:hAnsi="Wingdings" w:cs="Wingdings"/>
      <w:b w:val="false"/>
      <w:i w:val="false"/>
      <w:color w:val="auto"/>
      <w:sz w:val="24"/>
    </w:rPr>
  </w:style>
  <w:style w:type="character" w:styleId="WW8Num201z0">
    <w:name w:val="WW8Num20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02z0">
    <w:name w:val="WW8Num202z0"/>
    <w:qFormat/>
    <w:rPr/>
  </w:style>
  <w:style w:type="character" w:styleId="WW8Num203z0">
    <w:name w:val="WW8Num203z0"/>
    <w:qFormat/>
    <w:rPr>
      <w:rFonts w:ascii="Wingdings" w:hAnsi="Wingdings" w:cs="Wingdings"/>
      <w:b/>
      <w:i/>
      <w:sz w:val="24"/>
    </w:rPr>
  </w:style>
  <w:style w:type="character" w:styleId="WW8Num204z0">
    <w:name w:val="WW8Num204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207z0">
    <w:name w:val="WW8Num207z0"/>
    <w:qFormat/>
    <w:rPr>
      <w:rFonts w:ascii="Wingdings" w:hAnsi="Wingdings" w:cs="Wingdings"/>
      <w:b w:val="false"/>
      <w:i w:val="false"/>
      <w:color w:val="auto"/>
      <w:sz w:val="10"/>
      <w:u w:val="none"/>
      <w:vertAlign w:val="superscript"/>
    </w:rPr>
  </w:style>
  <w:style w:type="character" w:styleId="WW8Num209z0">
    <w:name w:val="WW8Num209z0"/>
    <w:qFormat/>
    <w:rPr>
      <w:rFonts w:ascii="Wingdings" w:hAnsi="Wingdings" w:cs="Wingdings"/>
      <w:b w:val="false"/>
      <w:i w:val="false"/>
      <w:color w:val="auto"/>
      <w:sz w:val="10"/>
      <w:u w:val="none"/>
      <w:vertAlign w:val="superscript"/>
    </w:rPr>
  </w:style>
  <w:style w:type="character" w:styleId="WW8Num210z0">
    <w:name w:val="WW8Num210z0"/>
    <w:qFormat/>
    <w:rPr>
      <w:rFonts w:ascii="Symbol" w:hAnsi="Symbol" w:cs="Symbol"/>
      <w:color w:val="auto"/>
      <w:u w:val="none"/>
      <w:vertAlign w:val="superscript"/>
    </w:rPr>
  </w:style>
  <w:style w:type="character" w:styleId="WW8Num213z0">
    <w:name w:val="WW8Num213z0"/>
    <w:qFormat/>
    <w:rPr/>
  </w:style>
  <w:style w:type="character" w:styleId="WW8Num217z0">
    <w:name w:val="WW8Num217z0"/>
    <w:qFormat/>
    <w:rPr>
      <w:rFonts w:ascii="Wingdings" w:hAnsi="Wingdings" w:cs="Wingdings"/>
      <w:b/>
      <w:i/>
      <w:sz w:val="24"/>
    </w:rPr>
  </w:style>
  <w:style w:type="character" w:styleId="WW8Num219z0">
    <w:name w:val="WW8Num219z0"/>
    <w:qFormat/>
    <w:rPr>
      <w:rFonts w:ascii="Wingdings" w:hAnsi="Wingdings" w:cs="Wingdings"/>
      <w:b w:val="false"/>
      <w:i w:val="false"/>
      <w:color w:val="auto"/>
      <w:sz w:val="20"/>
      <w:vertAlign w:val="superscript"/>
    </w:rPr>
  </w:style>
  <w:style w:type="character" w:styleId="WW8Num220z0">
    <w:name w:val="WW8Num220z0"/>
    <w:qFormat/>
    <w:rPr>
      <w:rFonts w:ascii="Wingdings" w:hAnsi="Wingdings" w:cs="Wingdings"/>
      <w:sz w:val="16"/>
    </w:rPr>
  </w:style>
  <w:style w:type="character" w:styleId="WW8Num221z0">
    <w:name w:val="WW8Num221z0"/>
    <w:qFormat/>
    <w:rPr>
      <w:rFonts w:ascii="Wingdings" w:hAnsi="Wingdings" w:cs="Wingdings"/>
      <w:sz w:val="16"/>
    </w:rPr>
  </w:style>
  <w:style w:type="character" w:styleId="WW8Num222z0">
    <w:name w:val="WW8Num222z0"/>
    <w:qFormat/>
    <w:rPr>
      <w:rFonts w:ascii="Wingdings" w:hAnsi="Wingdings" w:cs="Wingdings"/>
      <w:b w:val="false"/>
      <w:i w:val="false"/>
      <w:color w:val="auto"/>
      <w:sz w:val="28"/>
      <w:u w:val="none"/>
      <w:vertAlign w:val="superscript"/>
    </w:rPr>
  </w:style>
  <w:style w:type="character" w:styleId="WW8Num224z0">
    <w:name w:val="WW8Num224z0"/>
    <w:qFormat/>
    <w:rPr>
      <w:rFonts w:ascii="Wingdings" w:hAnsi="Wingdings" w:cs="Wingdings"/>
      <w:b w:val="false"/>
      <w:i/>
      <w:color w:val="auto"/>
      <w:sz w:val="16"/>
      <w:u w:val="none"/>
    </w:rPr>
  </w:style>
  <w:style w:type="character" w:styleId="WW8Num226z0">
    <w:name w:val="WW8Num226z0"/>
    <w:qFormat/>
    <w:rPr>
      <w:rFonts w:ascii="Symbol" w:hAnsi="Symbol" w:cs="Symbol"/>
    </w:rPr>
  </w:style>
  <w:style w:type="character" w:styleId="WW8Num227z0">
    <w:name w:val="WW8Num227z0"/>
    <w:qFormat/>
    <w:rPr/>
  </w:style>
  <w:style w:type="character" w:styleId="WW8Num230z0">
    <w:name w:val="WW8Num230z0"/>
    <w:qFormat/>
    <w:rPr>
      <w:rFonts w:ascii="Wingdings" w:hAnsi="Wingdings" w:cs="Wingdings"/>
    </w:rPr>
  </w:style>
  <w:style w:type="character" w:styleId="WW8Num231z0">
    <w:name w:val="WW8Num231z0"/>
    <w:qFormat/>
    <w:rPr>
      <w:rFonts w:ascii="Symbol" w:hAnsi="Symbol" w:cs="Symbol"/>
    </w:rPr>
  </w:style>
  <w:style w:type="character" w:styleId="WW8Num232z0">
    <w:name w:val="WW8Num232z0"/>
    <w:qFormat/>
    <w:rPr>
      <w:rFonts w:ascii="Wingdings" w:hAnsi="Wingdings" w:cs="Wingdings"/>
    </w:rPr>
  </w:style>
  <w:style w:type="character" w:styleId="WW8Num233z0">
    <w:name w:val="WW8Num233z0"/>
    <w:qFormat/>
    <w:rPr>
      <w:caps w:val="false"/>
      <w:smallCaps w:val="false"/>
      <w:strike w:val="false"/>
      <w:dstrike w:val="false"/>
      <w:outline w:val="false"/>
      <w:shadow w:val="false"/>
      <w:vanish w:val="false"/>
      <w:color w:val="auto"/>
      <w:kern w:val="0"/>
      <w:position w:val="0"/>
      <w:sz w:val="24"/>
      <w:vertAlign w:val="baseline"/>
    </w:rPr>
  </w:style>
  <w:style w:type="character" w:styleId="WW8Num235z0">
    <w:name w:val="WW8Num235z0"/>
    <w:qFormat/>
    <w:rPr>
      <w:rFonts w:ascii="Times New Roman" w:hAnsi="Times New Roman" w:cs="Times New Roman"/>
      <w:b/>
      <w:i/>
      <w:sz w:val="24"/>
    </w:rPr>
  </w:style>
  <w:style w:type="character" w:styleId="WW8Num236z0">
    <w:name w:val="WW8Num236z0"/>
    <w:qFormat/>
    <w:rPr/>
  </w:style>
  <w:style w:type="character" w:styleId="WW8Num237z0">
    <w:name w:val="WW8Num237z0"/>
    <w:qFormat/>
    <w:rPr>
      <w:rFonts w:ascii="Arial" w:hAnsi="Arial" w:cs="Arial"/>
      <w:b w:val="false"/>
      <w:i w:val="false"/>
      <w:color w:val="auto"/>
      <w:sz w:val="16"/>
      <w:u w:val="none"/>
    </w:rPr>
  </w:style>
  <w:style w:type="character" w:styleId="WW8Num238z0">
    <w:name w:val="WW8Num238z0"/>
    <w:qFormat/>
    <w:rPr>
      <w:rFonts w:ascii="Wingdings" w:hAnsi="Wingdings" w:cs="Wingdings"/>
    </w:rPr>
  </w:style>
  <w:style w:type="character" w:styleId="WW8Num243z0">
    <w:name w:val="WW8Num243z0"/>
    <w:qFormat/>
    <w:rPr>
      <w:rFonts w:ascii="Wingdings" w:hAnsi="Wingdings" w:cs="Wingdings"/>
      <w:b/>
      <w:i/>
      <w:sz w:val="24"/>
    </w:rPr>
  </w:style>
  <w:style w:type="character" w:styleId="WW8Num244z0">
    <w:name w:val="WW8Num244z0"/>
    <w:qFormat/>
    <w:rPr>
      <w:rFonts w:ascii="Symbol" w:hAnsi="Symbol" w:cs="Symbol"/>
    </w:rPr>
  </w:style>
  <w:style w:type="character" w:styleId="WW8Num245z0">
    <w:name w:val="WW8Num245z0"/>
    <w:qFormat/>
    <w:rPr>
      <w:rFonts w:ascii="Symbol" w:hAnsi="Symbol" w:cs="Symbol"/>
      <w:u w:val="none"/>
      <w:vertAlign w:val="superscript"/>
    </w:rPr>
  </w:style>
  <w:style w:type="character" w:styleId="WW8Num248z0">
    <w:name w:val="WW8Num248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49z0">
    <w:name w:val="WW8Num249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50z0">
    <w:name w:val="WW8Num250z0"/>
    <w:qFormat/>
    <w:rPr/>
  </w:style>
  <w:style w:type="character" w:styleId="WW8Num253z0">
    <w:name w:val="WW8Num253z0"/>
    <w:qFormat/>
    <w:rPr/>
  </w:style>
  <w:style w:type="character" w:styleId="WW8Num254z0">
    <w:name w:val="WW8Num254z0"/>
    <w:qFormat/>
    <w:rPr>
      <w:rFonts w:ascii="Wingdings" w:hAnsi="Wingdings" w:cs="Wingdings"/>
      <w:b w:val="false"/>
      <w:i w:val="false"/>
      <w:color w:val="auto"/>
      <w:sz w:val="20"/>
      <w:u w:val="none"/>
    </w:rPr>
  </w:style>
  <w:style w:type="character" w:styleId="WW8Num258z0">
    <w:name w:val="WW8Num258z0"/>
    <w:qFormat/>
    <w:rPr>
      <w:rFonts w:ascii="Symbol" w:hAnsi="Symbol" w:cs="Symbol"/>
      <w:sz w:val="12"/>
    </w:rPr>
  </w:style>
  <w:style w:type="character" w:styleId="WW8Num259z0">
    <w:name w:val="WW8Num259z0"/>
    <w:qFormat/>
    <w:rPr/>
  </w:style>
  <w:style w:type="character" w:styleId="WW8Num260z0">
    <w:name w:val="WW8Num260z0"/>
    <w:qFormat/>
    <w:rPr>
      <w:rFonts w:ascii="Wingdings" w:hAnsi="Wingdings" w:cs="Wingdings"/>
      <w:sz w:val="10"/>
    </w:rPr>
  </w:style>
  <w:style w:type="character" w:styleId="WW8Num263z0">
    <w:name w:val="WW8Num263z0"/>
    <w:qFormat/>
    <w:rPr>
      <w:rFonts w:ascii="Wingdings" w:hAnsi="Wingdings" w:cs="Wingdings"/>
      <w:b w:val="false"/>
      <w:i w:val="false"/>
      <w:color w:val="auto"/>
      <w:sz w:val="10"/>
      <w:u w:val="none"/>
      <w:vertAlign w:val="superscript"/>
    </w:rPr>
  </w:style>
  <w:style w:type="character" w:styleId="WW8Num264z0">
    <w:name w:val="WW8Num26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66z0">
    <w:name w:val="WW8Num266z0"/>
    <w:qFormat/>
    <w:rPr/>
  </w:style>
  <w:style w:type="character" w:styleId="WW8Num268z0">
    <w:name w:val="WW8Num268z0"/>
    <w:qFormat/>
    <w:rPr>
      <w:rFonts w:ascii="Symbol" w:hAnsi="Symbol" w:cs="Symbol"/>
    </w:rPr>
  </w:style>
  <w:style w:type="character" w:styleId="WW8Num269z0">
    <w:name w:val="WW8Num269z0"/>
    <w:qFormat/>
    <w:rPr>
      <w:rFonts w:ascii="Wingdings" w:hAnsi="Wingdings" w:cs="Wingdings"/>
      <w:b w:val="false"/>
      <w:i w:val="false"/>
      <w:color w:val="auto"/>
      <w:sz w:val="16"/>
      <w:u w:val="none"/>
    </w:rPr>
  </w:style>
  <w:style w:type="character" w:styleId="WW8Num273z0">
    <w:name w:val="WW8Num273z0"/>
    <w:qFormat/>
    <w:rPr>
      <w:rFonts w:ascii="Symbol" w:hAnsi="Symbol" w:cs="Symbol"/>
      <w:vertAlign w:val="superscript"/>
    </w:rPr>
  </w:style>
  <w:style w:type="character" w:styleId="WW8Num274z0">
    <w:name w:val="WW8Num274z0"/>
    <w:qFormat/>
    <w:rPr/>
  </w:style>
  <w:style w:type="character" w:styleId="WW8Num275z0">
    <w:name w:val="WW8Num275z0"/>
    <w:qFormat/>
    <w:rPr>
      <w:rFonts w:ascii="Wingdings" w:hAnsi="Wingdings" w:cs="Wingdings"/>
    </w:rPr>
  </w:style>
  <w:style w:type="character" w:styleId="WW8Num276z0">
    <w:name w:val="WW8Num276z0"/>
    <w:qFormat/>
    <w:rPr>
      <w:rFonts w:ascii="Wingdings" w:hAnsi="Wingdings" w:cs="Wingdings"/>
      <w:b/>
      <w:i w:val="false"/>
      <w:sz w:val="28"/>
    </w:rPr>
  </w:style>
  <w:style w:type="character" w:styleId="WW8Num278z0">
    <w:name w:val="WW8Num278z0"/>
    <w:qFormat/>
    <w:rPr>
      <w:rFonts w:ascii="Wingdings" w:hAnsi="Wingdings" w:cs="Wingdings"/>
      <w:b w:val="false"/>
      <w:i w:val="false"/>
      <w:sz w:val="28"/>
      <w:u w:val="none"/>
    </w:rPr>
  </w:style>
  <w:style w:type="character" w:styleId="WW8Num279z0">
    <w:name w:val="WW8Num279z0"/>
    <w:qFormat/>
    <w:rPr>
      <w:rFonts w:ascii="Wingdings" w:hAnsi="Wingdings" w:cs="Wingdings"/>
      <w:b w:val="false"/>
      <w:i w:val="false"/>
      <w:sz w:val="12"/>
      <w:u w:val="none"/>
      <w:vertAlign w:val="superscript"/>
    </w:rPr>
  </w:style>
  <w:style w:type="character" w:styleId="WW8Num280z0">
    <w:name w:val="WW8Num280z0"/>
    <w:qFormat/>
    <w:rPr>
      <w:rFonts w:ascii="Wingdings" w:hAnsi="Wingdings" w:cs="Wingdings"/>
      <w:sz w:val="16"/>
    </w:rPr>
  </w:style>
  <w:style w:type="character" w:styleId="WW8Num281z0">
    <w:name w:val="WW8Num281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82z0">
    <w:name w:val="WW8Num282z0"/>
    <w:qFormat/>
    <w:rPr>
      <w:rFonts w:ascii="Wingdings" w:hAnsi="Wingdings" w:cs="Wingdings"/>
      <w:b w:val="false"/>
      <w:i w:val="false"/>
      <w:color w:val="auto"/>
      <w:sz w:val="12"/>
      <w:u w:val="none"/>
      <w:vertAlign w:val="superscript"/>
    </w:rPr>
  </w:style>
  <w:style w:type="character" w:styleId="WW8Num283z0">
    <w:name w:val="WW8Num283z0"/>
    <w:qFormat/>
    <w:rPr>
      <w:rFonts w:ascii="Wingdings" w:hAnsi="Wingdings" w:cs="Wingdings"/>
      <w:b w:val="false"/>
      <w:i w:val="false"/>
      <w:color w:val="auto"/>
      <w:sz w:val="20"/>
      <w:u w:val="none"/>
      <w:vertAlign w:val="superscript"/>
    </w:rPr>
  </w:style>
  <w:style w:type="character" w:styleId="WW8Num284z0">
    <w:name w:val="WW8Num284z0"/>
    <w:qFormat/>
    <w:rPr>
      <w:rFonts w:ascii="Wingdings" w:hAnsi="Wingdings" w:cs="Wingdings"/>
      <w:sz w:val="16"/>
    </w:rPr>
  </w:style>
  <w:style w:type="character" w:styleId="WW8Num285z0">
    <w:name w:val="WW8Num285z0"/>
    <w:qFormat/>
    <w:rPr>
      <w:rFonts w:ascii="Wingdings" w:hAnsi="Wingdings" w:cs="Wingdings"/>
      <w:b w:val="false"/>
      <w:i w:val="false"/>
      <w:sz w:val="28"/>
    </w:rPr>
  </w:style>
  <w:style w:type="character" w:styleId="WW8Num286z0">
    <w:name w:val="WW8Num286z0"/>
    <w:qFormat/>
    <w:rPr>
      <w:rFonts w:ascii="Symbol" w:hAnsi="Symbol" w:cs="Symbol"/>
    </w:rPr>
  </w:style>
  <w:style w:type="character" w:styleId="WW8Num288z0">
    <w:name w:val="WW8Num288z0"/>
    <w:qFormat/>
    <w:rPr/>
  </w:style>
  <w:style w:type="character" w:styleId="WW8Num290z0">
    <w:name w:val="WW8Num290z0"/>
    <w:qFormat/>
    <w:rPr/>
  </w:style>
  <w:style w:type="character" w:styleId="WW8Num291z0">
    <w:name w:val="WW8Num291z0"/>
    <w:qFormat/>
    <w:rPr>
      <w:rFonts w:ascii="Symbol" w:hAnsi="Symbol" w:cs="Symbol"/>
    </w:rPr>
  </w:style>
  <w:style w:type="character" w:styleId="WW8Num294z0">
    <w:name w:val="WW8Num294z0"/>
    <w:qFormat/>
    <w:rPr>
      <w:rFonts w:ascii="Wingdings" w:hAnsi="Wingdings" w:cs="Wingdings"/>
      <w:b w:val="false"/>
      <w:i w:val="false"/>
      <w:color w:val="auto"/>
      <w:sz w:val="12"/>
      <w:u w:val="none"/>
      <w:vertAlign w:val="superscript"/>
    </w:rPr>
  </w:style>
  <w:style w:type="character" w:styleId="WW8Num297z0">
    <w:name w:val="WW8Num297z0"/>
    <w:qFormat/>
    <w:rPr/>
  </w:style>
  <w:style w:type="character" w:styleId="WW8Num299z0">
    <w:name w:val="WW8Num299z0"/>
    <w:qFormat/>
    <w:rPr>
      <w:rFonts w:ascii="Symbol" w:hAnsi="Symbol" w:cs="Symbol"/>
    </w:rPr>
  </w:style>
  <w:style w:type="character" w:styleId="WW8Num300z0">
    <w:name w:val="WW8Num300z0"/>
    <w:qFormat/>
    <w:rPr/>
  </w:style>
  <w:style w:type="character" w:styleId="WW8Num302z0">
    <w:name w:val="WW8Num302z0"/>
    <w:qFormat/>
    <w:rPr/>
  </w:style>
  <w:style w:type="character" w:styleId="WW8Num303z0">
    <w:name w:val="WW8Num303z0"/>
    <w:qFormat/>
    <w:rPr>
      <w:rFonts w:ascii="Arial" w:hAnsi="Arial" w:cs="Arial"/>
      <w:b w:val="false"/>
      <w:i/>
      <w:color w:val="auto"/>
      <w:sz w:val="16"/>
      <w:u w:val="none"/>
    </w:rPr>
  </w:style>
  <w:style w:type="character" w:styleId="WW8Num305z0">
    <w:name w:val="WW8Num305z0"/>
    <w:qFormat/>
    <w:rPr/>
  </w:style>
  <w:style w:type="character" w:styleId="WW8Num306z0">
    <w:name w:val="WW8Num306z0"/>
    <w:qFormat/>
    <w:rPr>
      <w:rFonts w:ascii="Wingdings" w:hAnsi="Wingdings" w:cs="Wingdings"/>
      <w:b w:val="false"/>
      <w:i w:val="false"/>
      <w:color w:val="auto"/>
      <w:sz w:val="16"/>
      <w:u w:val="none"/>
    </w:rPr>
  </w:style>
  <w:style w:type="character" w:styleId="WW8Num307z0">
    <w:name w:val="WW8Num307z0"/>
    <w:qFormat/>
    <w:rPr/>
  </w:style>
  <w:style w:type="character" w:styleId="WW8Num308z0">
    <w:name w:val="WW8Num308z0"/>
    <w:qFormat/>
    <w:rPr>
      <w:rFonts w:ascii="Wingdings" w:hAnsi="Wingdings" w:cs="Wingdings"/>
      <w:b w:val="false"/>
      <w:i w:val="false"/>
      <w:color w:val="auto"/>
      <w:sz w:val="12"/>
      <w:u w:val="none"/>
      <w:vertAlign w:val="superscript"/>
    </w:rPr>
  </w:style>
  <w:style w:type="character" w:styleId="WW8Num313z0">
    <w:name w:val="WW8Num313z0"/>
    <w:qFormat/>
    <w:rPr>
      <w:rFonts w:ascii="Wingdings" w:hAnsi="Wingdings" w:cs="Wingdings"/>
      <w:b w:val="false"/>
      <w:i w:val="false"/>
      <w:color w:val="auto"/>
      <w:sz w:val="12"/>
      <w:u w:val="none"/>
      <w:vertAlign w:val="superscript"/>
    </w:rPr>
  </w:style>
  <w:style w:type="character" w:styleId="WW8Num314z0">
    <w:name w:val="WW8Num314z0"/>
    <w:qFormat/>
    <w:rPr>
      <w:rFonts w:ascii="Wingdings" w:hAnsi="Wingdings" w:cs="Wingdings"/>
      <w:b w:val="false"/>
      <w:i w:val="false"/>
      <w:color w:val="auto"/>
      <w:sz w:val="16"/>
      <w:u w:val="none"/>
    </w:rPr>
  </w:style>
  <w:style w:type="character" w:styleId="WW8Num315z0">
    <w:name w:val="WW8Num315z0"/>
    <w:qFormat/>
    <w:rPr>
      <w:rFonts w:ascii="Symbol" w:hAnsi="Symbol" w:cs="Symbol"/>
    </w:rPr>
  </w:style>
  <w:style w:type="character" w:styleId="WW8Num320z0">
    <w:name w:val="WW8Num320z0"/>
    <w:qFormat/>
    <w:rPr/>
  </w:style>
  <w:style w:type="character" w:styleId="WW8Num321z0">
    <w:name w:val="WW8Num321z0"/>
    <w:qFormat/>
    <w:rPr>
      <w:rFonts w:ascii="Wingdings" w:hAnsi="Wingdings" w:cs="Wingdings"/>
      <w:color w:val="auto"/>
      <w:sz w:val="20"/>
    </w:rPr>
  </w:style>
  <w:style w:type="character" w:styleId="WW8Num323z0">
    <w:name w:val="WW8Num323z0"/>
    <w:qFormat/>
    <w:rPr>
      <w:rFonts w:ascii="Wingdings" w:hAnsi="Wingdings" w:cs="Wingdings"/>
    </w:rPr>
  </w:style>
  <w:style w:type="character" w:styleId="WW8Num324z0">
    <w:name w:val="WW8Num324z0"/>
    <w:qFormat/>
    <w:rPr>
      <w:rFonts w:ascii="Wingdings" w:hAnsi="Wingdings" w:cs="Wingdings"/>
    </w:rPr>
  </w:style>
  <w:style w:type="character" w:styleId="WW8Num325z0">
    <w:name w:val="WW8Num325z0"/>
    <w:qFormat/>
    <w:rPr>
      <w:rFonts w:ascii="Symbol" w:hAnsi="Symbol" w:cs="Symbol"/>
      <w:vertAlign w:val="superscript"/>
    </w:rPr>
  </w:style>
  <w:style w:type="character" w:styleId="WW8Num326z0">
    <w:name w:val="WW8Num326z0"/>
    <w:qFormat/>
    <w:rPr/>
  </w:style>
  <w:style w:type="character" w:styleId="WW8Num327z0">
    <w:name w:val="WW8Num327z0"/>
    <w:qFormat/>
    <w:rPr>
      <w:rFonts w:ascii="Arial" w:hAnsi="Arial" w:cs="Arial"/>
      <w:b w:val="false"/>
      <w:i/>
      <w:color w:val="auto"/>
      <w:sz w:val="16"/>
      <w:u w:val="none"/>
    </w:rPr>
  </w:style>
  <w:style w:type="character" w:styleId="WW8Num328z0">
    <w:name w:val="WW8Num328z0"/>
    <w:qFormat/>
    <w:rPr/>
  </w:style>
  <w:style w:type="character" w:styleId="WW8Num329z0">
    <w:name w:val="WW8Num329z0"/>
    <w:qFormat/>
    <w:rPr/>
  </w:style>
  <w:style w:type="character" w:styleId="WW8Num331z0">
    <w:name w:val="WW8Num331z0"/>
    <w:qFormat/>
    <w:rPr/>
  </w:style>
  <w:style w:type="character" w:styleId="WW8Num333z0">
    <w:name w:val="WW8Num333z0"/>
    <w:qFormat/>
    <w:rPr>
      <w:rFonts w:ascii="Wingdings" w:hAnsi="Wingdings" w:cs="Wingdings"/>
      <w:b/>
      <w:i w:val="false"/>
      <w:sz w:val="28"/>
      <w:u w:val="none"/>
    </w:rPr>
  </w:style>
  <w:style w:type="character" w:styleId="WW8Num335z0">
    <w:name w:val="WW8Num335z0"/>
    <w:qFormat/>
    <w:rPr/>
  </w:style>
  <w:style w:type="character" w:styleId="WW8Num337z0">
    <w:name w:val="WW8Num337z0"/>
    <w:qFormat/>
    <w:rPr/>
  </w:style>
  <w:style w:type="character" w:styleId="WW8Num338z0">
    <w:name w:val="WW8Num338z0"/>
    <w:qFormat/>
    <w:rPr>
      <w:rFonts w:ascii="Wingdings" w:hAnsi="Wingdings" w:cs="Wingdings"/>
      <w:b w:val="false"/>
      <w:i w:val="false"/>
      <w:color w:val="auto"/>
      <w:sz w:val="28"/>
    </w:rPr>
  </w:style>
  <w:style w:type="character" w:styleId="WW8Num339z0">
    <w:name w:val="WW8Num339z0"/>
    <w:qFormat/>
    <w:rPr/>
  </w:style>
  <w:style w:type="character" w:styleId="WW8Num343z0">
    <w:name w:val="WW8Num343z0"/>
    <w:qFormat/>
    <w:rPr/>
  </w:style>
  <w:style w:type="character" w:styleId="WW8Num345z0">
    <w:name w:val="WW8Num345z0"/>
    <w:qFormat/>
    <w:rPr>
      <w:rFonts w:ascii="Wingdings" w:hAnsi="Wingdings" w:cs="Wingdings"/>
      <w:color w:val="auto"/>
      <w:sz w:val="20"/>
    </w:rPr>
  </w:style>
  <w:style w:type="character" w:styleId="WW8Num348z0">
    <w:name w:val="WW8Num348z0"/>
    <w:qFormat/>
    <w:rPr>
      <w:rFonts w:ascii="Wingdings" w:hAnsi="Wingdings" w:cs="Wingdings"/>
    </w:rPr>
  </w:style>
  <w:style w:type="character" w:styleId="WW8Num350z0">
    <w:name w:val="WW8Num350z0"/>
    <w:qFormat/>
    <w:rPr>
      <w:rFonts w:ascii="Wingdings" w:hAnsi="Wingdings" w:cs="Wingdings"/>
      <w:b w:val="false"/>
      <w:i w:val="false"/>
      <w:color w:val="auto"/>
      <w:sz w:val="16"/>
      <w:u w:val="none"/>
    </w:rPr>
  </w:style>
  <w:style w:type="character" w:styleId="WW8Num355z0">
    <w:name w:val="WW8Num355z0"/>
    <w:qFormat/>
    <w:rPr>
      <w:rFonts w:ascii="Wingdings" w:hAnsi="Wingdings" w:cs="Wingdings"/>
      <w:b w:val="false"/>
      <w:i w:val="false"/>
      <w:color w:val="auto"/>
      <w:sz w:val="10"/>
      <w:u w:val="none"/>
      <w:vertAlign w:val="superscript"/>
    </w:rPr>
  </w:style>
  <w:style w:type="character" w:styleId="WW8Num357z0">
    <w:name w:val="WW8Num357z0"/>
    <w:qFormat/>
    <w:rPr>
      <w:rFonts w:ascii="Wingdings" w:hAnsi="Wingdings" w:cs="Wingdings"/>
      <w:b/>
      <w:i/>
      <w:sz w:val="24"/>
    </w:rPr>
  </w:style>
  <w:style w:type="character" w:styleId="WW8Num359z0">
    <w:name w:val="WW8Num359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60z0">
    <w:name w:val="WW8Num360z0"/>
    <w:qFormat/>
    <w:rPr>
      <w:rFonts w:ascii="Wingdings" w:hAnsi="Wingdings" w:cs="Wingdings"/>
      <w:b w:val="false"/>
      <w:i w:val="false"/>
      <w:color w:val="auto"/>
      <w:sz w:val="28"/>
      <w:u w:val="none"/>
      <w:vertAlign w:val="superscript"/>
    </w:rPr>
  </w:style>
  <w:style w:type="character" w:styleId="WW8Num361z0">
    <w:name w:val="WW8Num361z0"/>
    <w:qFormat/>
    <w:rPr>
      <w:rFonts w:ascii="Arial" w:hAnsi="Arial" w:cs="Arial"/>
      <w:b w:val="false"/>
      <w:i w:val="false"/>
      <w:color w:val="auto"/>
      <w:sz w:val="16"/>
      <w:u w:val="none"/>
    </w:rPr>
  </w:style>
  <w:style w:type="character" w:styleId="WW8Num362z0">
    <w:name w:val="WW8Num362z0"/>
    <w:qFormat/>
    <w:rPr>
      <w:rFonts w:ascii="Wingdings" w:hAnsi="Wingdings" w:cs="Wingdings"/>
      <w:b/>
      <w:i/>
      <w:sz w:val="24"/>
    </w:rPr>
  </w:style>
  <w:style w:type="character" w:styleId="WW8Num364z0">
    <w:name w:val="WW8Num364z0"/>
    <w:qFormat/>
    <w:rPr/>
  </w:style>
  <w:style w:type="character" w:styleId="WW8Num365z0">
    <w:name w:val="WW8Num365z0"/>
    <w:qFormat/>
    <w:rPr>
      <w:rFonts w:ascii="Wingdings" w:hAnsi="Wingdings" w:cs="Wingdings"/>
      <w:sz w:val="20"/>
    </w:rPr>
  </w:style>
  <w:style w:type="character" w:styleId="WW8Num366z0">
    <w:name w:val="WW8Num366z0"/>
    <w:qFormat/>
    <w:rPr>
      <w:rFonts w:ascii="Wingdings" w:hAnsi="Wingdings" w:cs="Wingdings"/>
      <w:b/>
      <w:i/>
      <w:sz w:val="24"/>
    </w:rPr>
  </w:style>
  <w:style w:type="character" w:styleId="WW8Num368z0">
    <w:name w:val="WW8Num368z0"/>
    <w:qFormat/>
    <w:rPr>
      <w:rFonts w:ascii="Wingdings" w:hAnsi="Wingdings" w:cs="Wingdings"/>
      <w:sz w:val="16"/>
    </w:rPr>
  </w:style>
  <w:style w:type="character" w:styleId="WW8Num369z0">
    <w:name w:val="WW8Num369z0"/>
    <w:qFormat/>
    <w:rPr>
      <w:rFonts w:ascii="Wingdings" w:hAnsi="Wingdings" w:cs="Wingdings"/>
      <w:b/>
      <w:i/>
      <w:sz w:val="24"/>
    </w:rPr>
  </w:style>
  <w:style w:type="character" w:styleId="WW8Num372z0">
    <w:name w:val="WW8Num372z0"/>
    <w:qFormat/>
    <w:rPr>
      <w:rFonts w:ascii="Wingdings" w:hAnsi="Wingdings" w:cs="Wingdings"/>
      <w:b/>
      <w:i/>
      <w:sz w:val="24"/>
    </w:rPr>
  </w:style>
  <w:style w:type="character" w:styleId="WW8Num373z0">
    <w:name w:val="WW8Num373z0"/>
    <w:qFormat/>
    <w:rPr>
      <w:rFonts w:ascii="Wingdings" w:hAnsi="Wingdings" w:cs="Wingdings"/>
    </w:rPr>
  </w:style>
  <w:style w:type="character" w:styleId="WW8Num374z0">
    <w:name w:val="WW8Num374z0"/>
    <w:qFormat/>
    <w:rPr>
      <w:rFonts w:ascii="Symbol" w:hAnsi="Symbol" w:cs="Symbol"/>
    </w:rPr>
  </w:style>
  <w:style w:type="character" w:styleId="WW8Num375z0">
    <w:name w:val="WW8Num375z0"/>
    <w:qFormat/>
    <w:rPr>
      <w:rFonts w:ascii="Wingdings" w:hAnsi="Wingdings" w:cs="Wingdings"/>
      <w:color w:val="auto"/>
      <w:sz w:val="20"/>
    </w:rPr>
  </w:style>
  <w:style w:type="character" w:styleId="WW8Num376z0">
    <w:name w:val="WW8Num376z0"/>
    <w:qFormat/>
    <w:rPr>
      <w:rFonts w:ascii="Wingdings" w:hAnsi="Wingdings" w:cs="Wingdings"/>
      <w:b/>
      <w:i/>
      <w:sz w:val="24"/>
    </w:rPr>
  </w:style>
  <w:style w:type="character" w:styleId="WW8Num379z0">
    <w:name w:val="WW8Num379z0"/>
    <w:qFormat/>
    <w:rPr>
      <w:rFonts w:ascii="Symbol" w:hAnsi="Symbol" w:cs="Symbol"/>
    </w:rPr>
  </w:style>
  <w:style w:type="character" w:styleId="WW8Num380z0">
    <w:name w:val="WW8Num380z0"/>
    <w:qFormat/>
    <w:rPr>
      <w:rFonts w:ascii="Wingdings" w:hAnsi="Wingdings" w:cs="Wingdings"/>
    </w:rPr>
  </w:style>
  <w:style w:type="character" w:styleId="WW8Num381z0">
    <w:name w:val="WW8Num381z0"/>
    <w:qFormat/>
    <w:rPr>
      <w:rFonts w:ascii="Wingdings" w:hAnsi="Wingdings" w:cs="Wingdings"/>
      <w:b w:val="false"/>
      <w:i w:val="false"/>
      <w:sz w:val="14"/>
      <w:u w:val="none"/>
    </w:rPr>
  </w:style>
  <w:style w:type="character" w:styleId="WW8Num382z0">
    <w:name w:val="WW8Num382z0"/>
    <w:qFormat/>
    <w:rPr>
      <w:rFonts w:ascii="Wingdings" w:hAnsi="Wingdings" w:cs="Wingdings"/>
      <w:b w:val="false"/>
      <w:i w:val="false"/>
      <w:sz w:val="16"/>
      <w:u w:val="none"/>
    </w:rPr>
  </w:style>
  <w:style w:type="character" w:styleId="WW8NumSt65z0">
    <w:name w:val="WW8NumSt65z0"/>
    <w:qFormat/>
    <w:rPr>
      <w:rFonts w:ascii="Wingdings" w:hAnsi="Wingdings" w:cs="Wingdings"/>
    </w:rPr>
  </w:style>
  <w:style w:type="character" w:styleId="WW8NumSt76z0">
    <w:name w:val="WW8NumSt76z0"/>
    <w:qFormat/>
    <w:rPr>
      <w:rFonts w:ascii="Wingdings" w:hAnsi="Wingdings" w:cs="Wingdings"/>
      <w:sz w:val="28"/>
    </w:rPr>
  </w:style>
  <w:style w:type="character" w:styleId="WW8NumSt77z0">
    <w:name w:val="WW8NumSt77z0"/>
    <w:qFormat/>
    <w:rPr>
      <w:rFonts w:ascii="Wingdings" w:hAnsi="Wingdings" w:cs="Wingdings"/>
      <w:sz w:val="12"/>
    </w:rPr>
  </w:style>
  <w:style w:type="character" w:styleId="WW8NumSt118z0">
    <w:name w:val="WW8NumSt118z0"/>
    <w:qFormat/>
    <w:rPr>
      <w:rFonts w:ascii="Wingdings" w:hAnsi="Wingdings" w:cs="Wingdings"/>
      <w:sz w:val="12"/>
    </w:rPr>
  </w:style>
  <w:style w:type="character" w:styleId="WW8NumSt123z0">
    <w:name w:val="WW8NumSt123z0"/>
    <w:qFormat/>
    <w:rPr>
      <w:rFonts w:ascii="Wingdings" w:hAnsi="Wingdings" w:cs="Wingdings"/>
    </w:rPr>
  </w:style>
  <w:style w:type="character" w:styleId="WW8NumSt126z0">
    <w:name w:val="WW8NumSt126z0"/>
    <w:qFormat/>
    <w:rPr>
      <w:rFonts w:ascii="Wingdings" w:hAnsi="Wingdings" w:cs="Wingdings"/>
    </w:rPr>
  </w:style>
  <w:style w:type="character" w:styleId="WW8NumSt128z0">
    <w:name w:val="WW8NumSt128z0"/>
    <w:qFormat/>
    <w:rPr>
      <w:rFonts w:ascii="Wingdings" w:hAnsi="Wingdings" w:cs="Wingdings"/>
    </w:rPr>
  </w:style>
  <w:style w:type="character" w:styleId="WW8NumSt173z0">
    <w:name w:val="WW8NumSt173z0"/>
    <w:qFormat/>
    <w:rPr>
      <w:rFonts w:ascii="Wingdings" w:hAnsi="Wingdings" w:cs="Wingdings"/>
      <w:sz w:val="28"/>
    </w:rPr>
  </w:style>
  <w:style w:type="character" w:styleId="WW8NumSt177z0">
    <w:name w:val="WW8NumSt177z0"/>
    <w:qFormat/>
    <w:rPr>
      <w:rFonts w:ascii="Wingdings" w:hAnsi="Wingdings" w:cs="Wingdings"/>
    </w:rPr>
  </w:style>
  <w:style w:type="character" w:styleId="WW8NumSt178z0">
    <w:name w:val="WW8NumSt178z0"/>
    <w:qFormat/>
    <w:rPr>
      <w:rFonts w:ascii="Wingdings" w:hAnsi="Wingdings" w:cs="Wingdings"/>
    </w:rPr>
  </w:style>
  <w:style w:type="character" w:styleId="WW8NumSt181z0">
    <w:name w:val="WW8NumSt181z0"/>
    <w:qFormat/>
    <w:rPr>
      <w:rFonts w:ascii="Wingdings" w:hAnsi="Wingdings" w:cs="Wingdings"/>
      <w:sz w:val="28"/>
    </w:rPr>
  </w:style>
  <w:style w:type="character" w:styleId="WW8NumSt182z0">
    <w:name w:val="WW8NumSt182z0"/>
    <w:qFormat/>
    <w:rPr>
      <w:rFonts w:ascii="Wingdings" w:hAnsi="Wingdings" w:cs="Wingdings"/>
    </w:rPr>
  </w:style>
  <w:style w:type="character" w:styleId="WW8NumSt183z0">
    <w:name w:val="WW8NumSt183z0"/>
    <w:qFormat/>
    <w:rPr>
      <w:rFonts w:ascii="Wingdings" w:hAnsi="Wingdings" w:cs="Wingdings"/>
    </w:rPr>
  </w:style>
  <w:style w:type="character" w:styleId="WW8NumSt184z0">
    <w:name w:val="WW8NumSt184z0"/>
    <w:qFormat/>
    <w:rPr>
      <w:rFonts w:ascii="Wingdings" w:hAnsi="Wingdings" w:cs="Wingdings"/>
    </w:rPr>
  </w:style>
  <w:style w:type="character" w:styleId="WW8NumSt185z0">
    <w:name w:val="WW8NumSt185z0"/>
    <w:qFormat/>
    <w:rPr>
      <w:rFonts w:ascii="Wingdings" w:hAnsi="Wingdings" w:cs="Wingdings"/>
      <w:sz w:val="18"/>
    </w:rPr>
  </w:style>
  <w:style w:type="character" w:styleId="WW8NumSt211z0">
    <w:name w:val="WW8NumSt211z0"/>
    <w:qFormat/>
    <w:rPr>
      <w:rFonts w:ascii="Wingdings" w:hAnsi="Wingdings" w:cs="Wingdings"/>
    </w:rPr>
  </w:style>
  <w:style w:type="character" w:styleId="WW8NumSt212z0">
    <w:name w:val="WW8NumSt212z0"/>
    <w:qFormat/>
    <w:rPr>
      <w:rFonts w:ascii="Wingdings" w:hAnsi="Wingdings" w:cs="Wingdings"/>
      <w:b w:val="false"/>
      <w:i w:val="false"/>
      <w:sz w:val="12"/>
    </w:rPr>
  </w:style>
  <w:style w:type="character" w:styleId="WW8NumSt385z0">
    <w:name w:val="WW8NumSt385z0"/>
    <w:qFormat/>
    <w:rPr>
      <w:rFonts w:ascii="Times New Roman" w:hAnsi="Times New Roman" w:cs="Times New Roman"/>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PageNumber">
    <w:name w:val="page number"/>
    <w:basedOn w:val="DefaultParagraphFont"/>
    <w:rPr>
      <w:rFonts w:ascii="Arial" w:hAnsi="Arial" w:cs="Arial"/>
      <w:b/>
      <w:sz w:val="18"/>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28"/>
      <w:u w:val="single"/>
    </w:rPr>
  </w:style>
  <w:style w:type="paragraph" w:styleId="BodyText">
    <w:name w:val="Body Text"/>
    <w:basedOn w:val="Normal"/>
    <w:pPr>
      <w:spacing w:before="120" w:after="120"/>
      <w:ind w:hanging="0" w:start="2160" w:end="0"/>
    </w:pPr>
    <w:rPr>
      <w:rFonts w:ascii="Arial" w:hAnsi="Arial" w:cs="Arial"/>
    </w:rPr>
  </w:style>
  <w:style w:type="paragraph" w:styleId="List">
    <w:name w:val="List"/>
    <w:basedOn w:val="BodyText"/>
    <w:pPr/>
    <w:rPr>
      <w:rFonts w:cs="NotoSans NF"/>
    </w:rPr>
  </w:style>
  <w:style w:type="paragraph" w:styleId="Caption">
    <w:name w:val="caption"/>
    <w:basedOn w:val="Normal"/>
    <w:qFormat/>
    <w:pPr>
      <w:numPr>
        <w:ilvl w:val="0"/>
        <w:numId w:val="32"/>
      </w:numPr>
      <w:spacing w:before="40" w:after="0"/>
    </w:pPr>
    <w:rPr>
      <w:rFonts w:ascii="Arial" w:hAnsi="Arial" w:cs="Arial"/>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A0b">
    <w:name w:val="A:0:b"/>
    <w:basedOn w:val="Normal"/>
    <w:qFormat/>
    <w:pPr>
      <w:numPr>
        <w:ilvl w:val="0"/>
        <w:numId w:val="17"/>
      </w:numPr>
      <w:spacing w:before="100" w:after="100"/>
    </w:pPr>
    <w:rPr>
      <w:rFonts w:ascii="Arial" w:hAnsi="Arial" w:cs="Arial"/>
    </w:rPr>
  </w:style>
  <w:style w:type="paragraph" w:styleId="A0bbox">
    <w:name w:val="A:0:bbox"/>
    <w:basedOn w:val="Normal"/>
    <w:qFormat/>
    <w:pPr>
      <w:numPr>
        <w:ilvl w:val="0"/>
        <w:numId w:val="4"/>
      </w:numPr>
      <w:spacing w:before="100" w:after="100"/>
    </w:pPr>
    <w:rPr>
      <w:rFonts w:ascii="Arial" w:hAnsi="Arial" w:cs="Arial"/>
    </w:rPr>
  </w:style>
  <w:style w:type="paragraph" w:styleId="B0bbox">
    <w:name w:val="B:0:bbox"/>
    <w:basedOn w:val="Normal"/>
    <w:qFormat/>
    <w:pPr>
      <w:numPr>
        <w:ilvl w:val="0"/>
        <w:numId w:val="21"/>
      </w:numPr>
      <w:spacing w:before="100" w:after="100"/>
      <w:ind w:hanging="360" w:start="2880" w:end="0"/>
    </w:pPr>
    <w:rPr>
      <w:rFonts w:ascii="Arial" w:hAnsi="Arial" w:cs="Arial"/>
    </w:rPr>
  </w:style>
  <w:style w:type="paragraph" w:styleId="B0n">
    <w:name w:val="B:0:n"/>
    <w:basedOn w:val="Normal"/>
    <w:qFormat/>
    <w:pPr>
      <w:numPr>
        <w:ilvl w:val="0"/>
        <w:numId w:val="20"/>
      </w:numPr>
      <w:spacing w:before="100" w:after="100"/>
      <w:ind w:hanging="360" w:start="0" w:end="0"/>
    </w:pPr>
    <w:rPr>
      <w:rFonts w:ascii="Arial" w:hAnsi="Arial" w:cs="Arial"/>
    </w:rPr>
  </w:style>
  <w:style w:type="paragraph" w:styleId="D1b">
    <w:name w:val="D:1:b"/>
    <w:basedOn w:val="Normal"/>
    <w:qFormat/>
    <w:pPr>
      <w:numPr>
        <w:ilvl w:val="0"/>
        <w:numId w:val="19"/>
      </w:numPr>
      <w:spacing w:before="100" w:after="100"/>
    </w:pPr>
    <w:rPr>
      <w:rFonts w:ascii="Arial" w:hAnsi="Arial" w:cs="Arial"/>
      <w:sz w:val="28"/>
    </w:rPr>
  </w:style>
  <w:style w:type="paragraph" w:styleId="Sub0b">
    <w:name w:val="Sub:0:b"/>
    <w:basedOn w:val="Normal"/>
    <w:qFormat/>
    <w:pPr>
      <w:numPr>
        <w:ilvl w:val="0"/>
        <w:numId w:val="29"/>
      </w:numPr>
      <w:tabs>
        <w:tab w:val="clear" w:pos="720"/>
      </w:tabs>
      <w:spacing w:before="240" w:after="120"/>
      <w:ind w:hanging="720" w:start="0" w:end="0"/>
    </w:pPr>
    <w:rPr>
      <w:rFonts w:ascii="Arial" w:hAnsi="Arial" w:cs="Arial"/>
      <w:b/>
      <w:sz w:val="24"/>
    </w:rPr>
  </w:style>
  <w:style w:type="paragraph" w:styleId="Note">
    <w:name w:val="Note"/>
    <w:basedOn w:val="Normal"/>
    <w:next w:val="Normal"/>
    <w:qFormat/>
    <w:pPr>
      <w:numPr>
        <w:ilvl w:val="0"/>
        <w:numId w:val="30"/>
      </w:numPr>
      <w:spacing w:before="40" w:after="0"/>
    </w:pPr>
    <w:rPr>
      <w:rFonts w:ascii="Arial" w:hAnsi="Arial" w:cs="Arial"/>
      <w:sz w:val="16"/>
    </w:rPr>
  </w:style>
  <w:style w:type="paragraph" w:styleId="Source">
    <w:name w:val="Source"/>
    <w:basedOn w:val="Normal"/>
    <w:next w:val="Normal"/>
    <w:qFormat/>
    <w:pPr>
      <w:numPr>
        <w:ilvl w:val="0"/>
        <w:numId w:val="27"/>
      </w:numPr>
      <w:spacing w:before="40" w:after="0"/>
    </w:pPr>
    <w:rPr>
      <w:rFonts w:ascii="Arial" w:hAnsi="Arial" w:cs="Arial"/>
      <w:sz w:val="16"/>
    </w:rPr>
  </w:style>
  <w:style w:type="paragraph" w:styleId="abullets">
    <w:name w:val="a:bullets"/>
    <w:basedOn w:val="Normal"/>
    <w:qFormat/>
    <w:pPr>
      <w:numPr>
        <w:ilvl w:val="0"/>
        <w:numId w:val="25"/>
      </w:numPr>
      <w:spacing w:before="240" w:after="0"/>
    </w:pPr>
    <w:rPr>
      <w:rFonts w:ascii="Arial" w:hAnsi="Arial" w:cs="Arial"/>
      <w:lang w:val="en-GB"/>
    </w:rPr>
  </w:style>
  <w:style w:type="paragraph" w:styleId="B1bbox">
    <w:name w:val="B:1:bbox"/>
    <w:basedOn w:val="Normal"/>
    <w:qFormat/>
    <w:pPr>
      <w:numPr>
        <w:ilvl w:val="0"/>
        <w:numId w:val="10"/>
      </w:numPr>
      <w:tabs>
        <w:tab w:val="clear" w:pos="720"/>
      </w:tabs>
      <w:spacing w:before="100" w:after="100"/>
    </w:pPr>
    <w:rPr>
      <w:rFonts w:ascii="Arial" w:hAnsi="Arial" w:cs="Arial"/>
      <w:sz w:val="28"/>
    </w:rPr>
  </w:style>
  <w:style w:type="paragraph" w:styleId="B1bboxA">
    <w:name w:val="B:1:bbox:A"/>
    <w:basedOn w:val="B1bbox"/>
    <w:qFormat/>
    <w:pPr>
      <w:numPr>
        <w:ilvl w:val="0"/>
        <w:numId w:val="24"/>
      </w:numPr>
      <w:tabs>
        <w:tab w:val="left" w:pos="1800" w:leader="none"/>
      </w:tabs>
      <w:ind w:hanging="0" w:start="1800" w:end="0"/>
    </w:pPr>
    <w:rPr/>
  </w:style>
  <w:style w:type="paragraph" w:styleId="Sec0">
    <w:name w:val="Sec:0"/>
    <w:basedOn w:val="Normal"/>
    <w:next w:val="Normal"/>
    <w:qFormat/>
    <w:pPr>
      <w:pageBreakBefore/>
      <w:spacing w:before="0" w:after="360"/>
    </w:pPr>
    <w:rPr>
      <w:rFonts w:ascii="Arial" w:hAnsi="Arial" w:cs="Arial"/>
      <w:b/>
      <w:sz w:val="36"/>
    </w:rPr>
  </w:style>
  <w:style w:type="paragraph" w:styleId="Sub0n">
    <w:name w:val="Sub:0:n"/>
    <w:basedOn w:val="Normal"/>
    <w:qFormat/>
    <w:pPr>
      <w:keepNext w:val="true"/>
      <w:spacing w:before="240" w:after="120"/>
    </w:pPr>
    <w:rPr>
      <w:rFonts w:ascii="Arial" w:hAnsi="Arial" w:cs="Arial"/>
      <w:b/>
      <w:sz w:val="24"/>
    </w:rPr>
  </w:style>
  <w:style w:type="paragraph" w:styleId="SecRN0">
    <w:name w:val="Sec:RN:0"/>
    <w:basedOn w:val="Sub0n"/>
    <w:qFormat/>
    <w:pPr>
      <w:ind w:hanging="720" w:start="720" w:end="0"/>
    </w:pPr>
    <w:rPr/>
  </w:style>
  <w:style w:type="paragraph" w:styleId="A0">
    <w:name w:val="A:0"/>
    <w:basedOn w:val="Normal"/>
    <w:qFormat/>
    <w:pPr>
      <w:spacing w:before="100" w:after="100"/>
      <w:ind w:hanging="0" w:start="1440" w:end="0"/>
    </w:pPr>
    <w:rPr>
      <w:rFonts w:ascii="Arial" w:hAnsi="Arial" w:cs="Arial"/>
    </w:rPr>
  </w:style>
  <w:style w:type="paragraph" w:styleId="Ttl0">
    <w:name w:val="Tt:l:0"/>
    <w:basedOn w:val="Normal"/>
    <w:qFormat/>
    <w:pPr>
      <w:spacing w:before="240" w:after="0"/>
    </w:pPr>
    <w:rPr>
      <w:rFonts w:ascii="Arial" w:hAnsi="Arial" w:cs="Arial"/>
      <w:b/>
      <w:sz w:val="28"/>
    </w:rPr>
  </w:style>
  <w:style w:type="paragraph" w:styleId="HdLet0">
    <w:name w:val="Hd:Let:0"/>
    <w:basedOn w:val="Sub0n"/>
    <w:qFormat/>
    <w:pPr>
      <w:ind w:hanging="720" w:start="1440" w:end="0"/>
    </w:pPr>
    <w:rPr/>
  </w:style>
  <w:style w:type="paragraph" w:styleId="Hidden">
    <w:name w:val="Hidden"/>
    <w:basedOn w:val="Normal"/>
    <w:qFormat/>
    <w:pPr/>
    <w:rPr>
      <w:rFonts w:ascii="Arial" w:hAnsi="Arial" w:cs="Arial"/>
      <w:b/>
      <w:vanish/>
      <w:color w:val="FF0000"/>
      <w:sz w:val="16"/>
    </w:rPr>
  </w:style>
  <w:style w:type="paragraph" w:styleId="Sub0">
    <w:name w:val="Sub:0"/>
    <w:basedOn w:val="Normal"/>
    <w:qFormat/>
    <w:pPr>
      <w:keepNext w:val="true"/>
      <w:spacing w:before="240" w:after="120"/>
      <w:ind w:hanging="0" w:start="1440" w:end="0"/>
    </w:pPr>
    <w:rPr>
      <w:rFonts w:ascii="Arial" w:hAnsi="Arial" w:cs="Arial"/>
      <w:b/>
      <w:sz w:val="24"/>
    </w:rPr>
  </w:style>
  <w:style w:type="paragraph" w:styleId="T0">
    <w:name w:val="T:0"/>
    <w:basedOn w:val="Normal"/>
    <w:qFormat/>
    <w:pPr>
      <w:spacing w:before="100" w:after="100"/>
    </w:pPr>
    <w:rPr>
      <w:rFonts w:ascii="Arial" w:hAnsi="Arial" w:cs="Arial"/>
    </w:rPr>
  </w:style>
  <w:style w:type="paragraph" w:styleId="Ttel1">
    <w:name w:val="Tt:el:1"/>
    <w:basedOn w:val="Normal"/>
    <w:qFormat/>
    <w:pPr>
      <w:spacing w:before="240" w:after="0"/>
    </w:pPr>
    <w:rPr>
      <w:rFonts w:ascii="Arial" w:hAnsi="Arial" w:cs="Arial"/>
      <w:b/>
      <w:sz w:val="28"/>
    </w:rPr>
  </w:style>
  <w:style w:type="paragraph" w:styleId="Tuel1">
    <w:name w:val="Tu:el:1"/>
    <w:basedOn w:val="Normal"/>
    <w:qFormat/>
    <w:pPr>
      <w:spacing w:before="0" w:after="20"/>
    </w:pPr>
    <w:rPr>
      <w:rFonts w:ascii="Arial" w:hAnsi="Arial" w:cs="Arial"/>
      <w:b/>
      <w:i/>
      <w:sz w:val="24"/>
    </w:rPr>
  </w:style>
  <w:style w:type="paragraph" w:styleId="TableHeadings">
    <w:name w:val="Table Headings"/>
    <w:basedOn w:val="Normal"/>
    <w:qFormat/>
    <w:pPr>
      <w:spacing w:before="36" w:after="36"/>
      <w:jc w:val="center"/>
    </w:pPr>
    <w:rPr>
      <w:rFonts w:ascii="Arial" w:hAnsi="Arial" w:cs="Arial"/>
      <w:caps/>
      <w:sz w:val="16"/>
    </w:rPr>
  </w:style>
  <w:style w:type="paragraph" w:styleId="Tnl0">
    <w:name w:val="Tn:l:0"/>
    <w:basedOn w:val="Normal"/>
    <w:qFormat/>
    <w:pPr>
      <w:spacing w:before="20" w:after="0"/>
      <w:ind w:hanging="720" w:start="720" w:end="0"/>
    </w:pPr>
    <w:rPr>
      <w:rFonts w:ascii="Arial" w:hAnsi="Arial" w:cs="Arial"/>
      <w:i/>
      <w:sz w:val="16"/>
    </w:rPr>
  </w:style>
  <w:style w:type="paragraph" w:styleId="CommentText">
    <w:name w:val="Comment Tex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Arial" w:hAnsi="Arial" w:cs="Arial"/>
      <w:sz w:val="26"/>
    </w:rPr>
  </w:style>
  <w:style w:type="paragraph" w:styleId="BodyText2">
    <w:name w:val="Body Text 2"/>
    <w:basedOn w:val="Normal"/>
    <w:qFormat/>
    <w:pPr/>
    <w:rPr>
      <w:b/>
      <w:sz w:val="24"/>
      <w:u w:val="single"/>
    </w:rPr>
  </w:style>
  <w:style w:type="paragraph" w:styleId="TableText">
    <w:name w:val="Table Text"/>
    <w:basedOn w:val="Normal"/>
    <w:qFormat/>
    <w:pPr>
      <w:spacing w:before="36" w:after="36"/>
    </w:pPr>
    <w:rPr>
      <w:rFonts w:ascii="Arial" w:hAnsi="Arial" w:cs="Arial"/>
    </w:rPr>
  </w:style>
  <w:style w:type="paragraph" w:styleId="BodyTextIndent2">
    <w:name w:val="Body Text Indent 2"/>
    <w:basedOn w:val="Normal"/>
    <w:qFormat/>
    <w:pPr>
      <w:ind w:hanging="0" w:start="2430" w:end="0"/>
    </w:pPr>
    <w:rPr>
      <w:rFonts w:ascii="Arial" w:hAnsi="Arial" w:cs="Arial"/>
    </w:rPr>
  </w:style>
  <w:style w:type="paragraph" w:styleId="Tsl0">
    <w:name w:val="Ts:l:0"/>
    <w:basedOn w:val="Normal"/>
    <w:qFormat/>
    <w:pPr>
      <w:spacing w:before="0" w:after="120"/>
    </w:pPr>
    <w:rPr>
      <w:rFonts w:ascii="Arial" w:hAnsi="Arial" w:cs="Arial"/>
      <w:b/>
      <w:sz w:val="24"/>
    </w:rPr>
  </w:style>
  <w:style w:type="paragraph" w:styleId="BodyText3">
    <w:name w:val="Body Text 3"/>
    <w:basedOn w:val="Normal"/>
    <w:qFormat/>
    <w:pPr/>
    <w:rPr>
      <w:b/>
      <w:color w:val="000000"/>
      <w:sz w:val="4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_rels/footer2.xml.rels><?xml version="1.0" encoding="UTF-8"?>
<Relationships xmlns="http://schemas.openxmlformats.org/package/2006/relationships"><Relationship Id="rId1" Type="http://schemas.openxmlformats.org/officeDocument/2006/relationships/image" Target="media/image1.wmf"/>
</Relationships>
</file>

<file path=word/_rels/footer3.xml.rels><?xml version="1.0" encoding="UTF-8"?>
<Relationships xmlns="http://schemas.openxmlformats.org/package/2006/relationships"><Relationship Id="rId1" Type="http://schemas.openxmlformats.org/officeDocument/2006/relationships/image" Target="media/image1.wmf"/>
</Relationships>
</file>

<file path=word/_rels/footer4.xml.rels><?xml version="1.0" encoding="UTF-8"?>
<Relationships xmlns="http://schemas.openxmlformats.org/package/2006/relationships"><Relationship Id="rId1" Type="http://schemas.openxmlformats.org/officeDocument/2006/relationships/image" Target="media/image1.wmf"/>
</Relationships>
</file>

<file path=word/_rels/footer5.xml.rels><?xml version="1.0" encoding="UTF-8"?>
<Relationships xmlns="http://schemas.openxmlformats.org/package/2006/relationships"><Relationship Id="rId1" Type="http://schemas.openxmlformats.org/officeDocument/2006/relationships/image" Target="media/image1.wmf"/>
</Relationships>
</file>

<file path=word/_rels/foot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2000-06-30T17:27:00Z</dcterms:created>
  <dc:creator>Jinsung Myung</dc:creator>
  <dc:description/>
  <dc:language>en-CA</dc:language>
  <cp:lastModifiedBy>Ben Rogers</cp:lastModifiedBy>
  <cp:lastPrinted>2000-06-13T10:35:00Z</cp:lastPrinted>
  <dcterms:modified xsi:type="dcterms:W3CDTF">2000-06-30T17:27:00Z</dcterms:modified>
  <cp:revision>2</cp:revision>
  <dc:subject/>
  <dc:title>Overview of Enron’s Generation</dc:title>
</cp:coreProperties>
</file>