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firstLine="18" w:start="4212" w:end="0"/>
              <w:rPr>
                <w:rFonts w:ascii="Arial" w:hAnsi="Arial" w:cs="Arial"/>
                <w:b/>
                <w:sz w:val="18"/>
              </w:rPr>
            </w:pPr>
            <w:r>
              <w:rPr>
                <w:rFonts w:cs="Arial" w:ascii="Arial" w:hAnsi="Arial"/>
                <w:b/>
                <w:sz w:val="18"/>
              </w:rPr>
              <w:br/>
              <w:t>Enron Power Marketing, Inc.</w:t>
            </w:r>
          </w:p>
          <w:p>
            <w:pPr>
              <w:pStyle w:val="Normal"/>
              <w:ind w:firstLine="18" w:start="4212" w:end="0"/>
              <w:rPr>
                <w:rFonts w:ascii="Arial" w:hAnsi="Arial" w:cs="Arial"/>
                <w:i/>
                <w:i/>
                <w:sz w:val="16"/>
              </w:rPr>
            </w:pPr>
            <w:r>
              <w:rPr>
                <w:rFonts w:cs="Arial" w:ascii="Arial" w:hAnsi="Arial"/>
                <w:i/>
                <w:sz w:val="16"/>
              </w:rPr>
              <w:t>P.O. Box 4428</w:t>
            </w:r>
          </w:p>
          <w:p>
            <w:pPr>
              <w:pStyle w:val="Normal"/>
              <w:ind w:firstLine="18" w:start="4212" w:end="0"/>
              <w:rPr>
                <w:rFonts w:ascii="Arial" w:hAnsi="Arial" w:cs="Arial"/>
                <w:i/>
                <w:i/>
                <w:sz w:val="16"/>
              </w:rPr>
            </w:pPr>
            <w:r>
              <w:rPr>
                <w:rFonts w:cs="Arial" w:ascii="Arial" w:hAnsi="Arial"/>
                <w:i/>
                <w:sz w:val="16"/>
              </w:rPr>
              <w:t>Houston, Texas 77210-4428</w:t>
            </w:r>
          </w:p>
          <w:p>
            <w:pPr>
              <w:pStyle w:val="Normal"/>
              <w:ind w:firstLine="18" w:start="4212" w:end="0"/>
              <w:rPr>
                <w:rFonts w:ascii="Arial" w:hAnsi="Arial" w:cs="Arial"/>
                <w:i/>
                <w:i/>
                <w:sz w:val="16"/>
              </w:rPr>
            </w:pPr>
            <w:r>
              <w:rPr>
                <w:rFonts w:cs="Arial" w:ascii="Arial" w:hAnsi="Arial"/>
                <w:i/>
                <w:sz w:val="16"/>
              </w:rPr>
              <w:t>(FAX) (713) 646-2491</w:t>
            </w:r>
          </w:p>
        </w:tc>
      </w:tr>
    </w:tbl>
    <w:p>
      <w:pPr>
        <w:pStyle w:val="Normal"/>
        <w:rPr>
          <w:sz w:val="22"/>
        </w:rPr>
      </w:pPr>
      <w:r>
        <w:rPr>
          <w:sz w:val="22"/>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September 12,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Keith Emery</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11770 US Hwy 1</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N Palm Beach, FL 33408-3027</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(561) 625-7517</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jc w:val="center"/>
        <w:rPr>
          <w:rFonts w:ascii="Arial" w:hAnsi="Arial" w:cs="Arial"/>
          <w:sz w:val="18"/>
        </w:rPr>
      </w:pPr>
      <w:r>
        <w:rPr>
          <w:rFonts w:cs="Arial" w:ascii="Arial" w:hAnsi="Arial"/>
          <w:sz w:val="18"/>
        </w:rPr>
        <w:t>REVISED CONFIRMATION LETTER</w:t>
      </w:r>
    </w:p>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revised confirmation letter shall confirm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September 12, 2001</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 of </w:t>
      </w: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r>
        <w:rPr>
          <w:rFonts w:cs="Arial" w:ascii="Arial" w:hAnsi="Arial"/>
          <w:sz w:val="18"/>
        </w:rPr>
        <w:t xml:space="preserve">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Seller: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Buyer:</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r>
        <w:trPr/>
        <w:tc>
          <w:tcPr>
            <w:tcW w:w="1548" w:type="dxa"/>
            <w:tcBorders/>
          </w:tcPr>
          <w:p>
            <w:pPr>
              <w:pStyle w:val="Normal"/>
              <w:snapToGrid w:val="false"/>
              <w:rPr>
                <w:rFonts w:ascii="Arial" w:hAnsi="Arial" w:cs="Arial"/>
                <w:sz w:val="18"/>
              </w:rPr>
            </w:pPr>
            <w:r>
              <w:rPr>
                <w:rFonts w:cs="Arial" w:ascii="Arial" w:hAnsi="Arial"/>
                <w:sz w:val="18"/>
              </w:rPr>
            </w:r>
          </w:p>
        </w:tc>
        <w:tc>
          <w:tcPr>
            <w:tcW w:w="8280" w:type="dxa"/>
            <w:tcBorders/>
          </w:tcPr>
          <w:p>
            <w:pPr>
              <w:pStyle w:val="Normal"/>
              <w:snapToGrid w:val="false"/>
              <w:rPr>
                <w:rFonts w:ascii="Arial" w:hAnsi="Arial" w:cs="Arial"/>
                <w:sz w:val="18"/>
              </w:rPr>
            </w:pPr>
            <w:r>
              <w:rPr>
                <w:rFonts w:cs="Arial" w:ascii="Arial" w:hAnsi="Arial"/>
                <w:sz w:val="18"/>
              </w:rPr>
            </w:r>
          </w:p>
        </w:tc>
      </w:tr>
      <w:tr>
        <w:trPr/>
        <w:tc>
          <w:tcPr>
            <w:tcW w:w="1548" w:type="dxa"/>
            <w:tcBorders/>
          </w:tcPr>
          <w:p>
            <w:pPr>
              <w:pStyle w:val="Normal"/>
              <w:rPr>
                <w:rFonts w:ascii="Arial" w:hAnsi="Arial" w:cs="Arial"/>
                <w:sz w:val="18"/>
              </w:rPr>
            </w:pPr>
            <w:r>
              <w:rPr>
                <w:rFonts w:cs="Arial" w:ascii="Arial" w:hAnsi="Arial"/>
                <w:sz w:val="18"/>
              </w:rPr>
              <w:t>Product:</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ProductDesc </w:instrText>
            </w:r>
            <w:r>
              <w:rPr>
                <w:sz w:val="18"/>
                <w:rFonts w:cs="Arial" w:ascii="Arial" w:hAnsi="Arial"/>
              </w:rPr>
              <w:fldChar w:fldCharType="separate"/>
            </w:r>
            <w:r>
              <w:rPr>
                <w:sz w:val="18"/>
                <w:rFonts w:cs="Arial" w:ascii="Arial" w:hAnsi="Arial"/>
              </w:rPr>
              <w:t>Firm energy</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Arial" w:hAnsi="Arial" w:cs="Arial"/>
                <w:sz w:val="18"/>
              </w:rPr>
            </w:pPr>
            <w:r>
              <w:rPr>
                <w:rFonts w:cs="Arial" w:ascii="Arial" w:hAnsi="Arial"/>
                <w:sz w:val="18"/>
              </w:rPr>
              <w:t>Term:</w:t>
            </w:r>
          </w:p>
        </w:tc>
        <w:tc>
          <w:tcPr>
            <w:tcW w:w="837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Tuesday, January 1, 2002 through Saturday, December 31, 2005; </w:t>
              <w:t>Hour Ending (HE) 0700 through HE 2200 (16 Hours each day);</w:t>
              <w:t xml:space="preserve">Monday through Friday only, excluding NERC holidays; </w:t>
              <w:t xml:space="preserve">Central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Price:</w:t>
            </w:r>
          </w:p>
        </w:tc>
        <w:tc>
          <w:tcPr>
            <w:tcW w:w="828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$36.10/MWh.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Quantity:</w:t>
            </w:r>
          </w:p>
        </w:tc>
        <w:tc>
          <w:tcPr>
            <w:tcW w:w="8280" w:type="dxa"/>
            <w:tcBorders/>
          </w:tcPr>
          <w:p>
            <w:pPr>
              <w:pStyle w:val="Normal"/>
              <w:rPr/>
            </w:pPr>
            <w:r>
              <w:rPr>
                <w:rFonts w:cs="Arial" w:ascii="Arial" w:hAnsi="Arial"/>
                <w:sz w:val="18"/>
              </w:rPr>
              <w:fldChar w:fldCharType="begin"/>
            </w:r>
            <w:r>
              <w:rPr>
                <w:sz w:val="18"/>
                <w:rFonts w:cs="Arial" w:ascii="Arial" w:hAnsi="Arial"/>
              </w:rPr>
              <w:instrText xml:space="preserve"> MERGEFIELD Quantity </w:instrText>
            </w:r>
            <w:r>
              <w:rPr>
                <w:sz w:val="18"/>
                <w:rFonts w:cs="Arial" w:ascii="Arial" w:hAnsi="Arial"/>
              </w:rPr>
              <w:fldChar w:fldCharType="separate"/>
            </w:r>
            <w:r>
              <w:rPr>
                <w:sz w:val="18"/>
                <w:rFonts w:cs="Arial" w:ascii="Arial" w:hAnsi="Arial"/>
              </w:rPr>
              <w:t>50 Mws of Firm energy per hour</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816,000 MWh</w:t>
            </w:r>
            <w:r>
              <w:rPr>
                <w:sz w:val="18"/>
                <w:rFonts w:cs="Arial" w:ascii="Arial" w:hAnsi="Arial"/>
              </w:rPr>
              <w:fldChar w:fldCharType="end"/>
            </w:r>
            <w:r>
              <w:rPr>
                <w:rFonts w:eastAsia="Arial" w:cs="Arial" w:ascii="Arial" w:hAnsi="Arial"/>
                <w:sz w:val="18"/>
              </w:rPr>
              <w:t xml:space="preserve"> </w:t>
            </w:r>
            <w:r>
              <w:rPr>
                <w:rFonts w:cs="Arial" w:ascii="Arial" w:hAnsi="Arial"/>
                <w:sz w:val="18"/>
              </w:rPr>
              <w:t>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Arial" w:hAnsi="Arial" w:cs="Arial"/>
                <w:sz w:val="18"/>
              </w:rPr>
            </w:pPr>
            <w:r>
              <w:rPr>
                <w:rFonts w:cs="Arial" w:ascii="Arial" w:hAnsi="Arial"/>
                <w:sz w:val="18"/>
              </w:rPr>
              <w:t>Delivery Point:</w:t>
            </w:r>
          </w:p>
        </w:tc>
        <w:tc>
          <w:tcPr>
            <w:tcW w:w="828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At Seller’s daily election, any points within the ERCOT North 2001 Zone (as defined by those busses in the ERCOT-sourced electronic spreadsheet titled "2CSC3Zones 01Sum1Base Case" identified with the North 2001 CSC Zone designated in Attachment A referenced in the minutes of the March 21, 2001 ERCOT Board of Directors meeting  (as subsequently modified and finalized on April 17, 2001 by action of the ERCOT Board of Directors, said modification designated in the minutes of the April 17, 2001 meeting on p. 2 under "Modification to (transmission) Congestion Zone boundaries and final approval of Congestions Zones")).  Individual busses added (e.g., on completion of new generation facilities) prior to the end of the Term to the ERCOT Transmission System within the North 2001 Zone as designated by such Attachment A shall be considered within the North 2001 Zone for purposes of this paragraph.  If such North 2001 Zone is superseded by a zone or zones of different boundaries, Seller shall nevertheless be required, unless otherwise agreed by the parties, to deliver the energy to points within the geographical area coextensive with the North 2001 Zone as defined by the first two sentences above.  If and when possible for Seller to designate under pertinent ERCOT scheduling practices, any such points shall be connected to the ERCOT Transmission Grid by Transmission Facilities (as such terms are defined in the ERCOT Protocols) operated at or above 138kV.</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545"/>
        <w:gridCol w:w="8265"/>
      </w:tblGrid>
      <w:tr>
        <w:trPr/>
        <w:tc>
          <w:tcPr>
            <w:tcW w:w="1545" w:type="dxa"/>
            <w:tcBorders/>
          </w:tcPr>
          <w:p>
            <w:pPr>
              <w:pStyle w:val="Normal"/>
              <w:rPr>
                <w:rFonts w:ascii="Arial" w:hAnsi="Arial" w:cs="Arial"/>
                <w:sz w:val="18"/>
              </w:rPr>
            </w:pPr>
            <w:r>
              <w:rPr>
                <w:rFonts w:cs="Arial" w:ascii="Arial" w:hAnsi="Arial"/>
                <w:sz w:val="18"/>
              </w:rPr>
              <w:t>Scheduling:</w:t>
            </w:r>
          </w:p>
        </w:tc>
        <w:tc>
          <w:tcPr>
            <w:tcW w:w="8265"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Seller shall notify Buyer of delivery point by 10:00 a.m. CPT on the Business Day preceding the scheduled delivery</w:t>
            </w:r>
            <w:r>
              <w:rPr>
                <w:sz w:val="18"/>
                <w:rFonts w:cs="Arial" w:ascii="Arial" w:hAnsi="Arial"/>
              </w:rPr>
              <w:fldChar w:fldCharType="end"/>
            </w:r>
          </w:p>
          <w:p>
            <w:pPr>
              <w:pStyle w:val="Normal"/>
              <w:jc w:val="both"/>
              <w:rPr>
                <w:rFonts w:ascii="Arial" w:hAnsi="Arial" w:cs="Arial"/>
                <w:sz w:val="18"/>
              </w:rPr>
            </w:pPr>
            <w:r>
              <w:rPr>
                <w:rFonts w:cs="Arial" w:ascii="Arial" w:hAnsi="Arial"/>
                <w:sz w:val="18"/>
              </w:rPr>
            </w:r>
          </w:p>
        </w:tc>
      </w:tr>
    </w:tbl>
    <w:p>
      <w:pPr>
        <w:pStyle w:val="Normal"/>
        <w:jc w:val="both"/>
        <w:rPr>
          <w:rFonts w:ascii="Arial" w:hAnsi="Arial" w:cs="Arial"/>
          <w:sz w:val="18"/>
        </w:rPr>
      </w:pPr>
      <w:r>
        <w:rPr>
          <w:rFonts w:cs="Arial" w:ascii="Arial" w:hAnsi="Arial"/>
          <w:sz w:val="18"/>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jc w:val="both"/>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w:t>
      </w:r>
      <w:r>
        <w:rPr>
          <w:rFonts w:cs="Arial" w:ascii="Arial" w:hAnsi="Arial"/>
          <w:sz w:val="18"/>
        </w:rPr>
        <w:fldChar w:fldCharType="begin"/>
      </w:r>
      <w:r>
        <w:rPr>
          <w:sz w:val="18"/>
          <w:rFonts w:cs="Arial" w:ascii="Arial" w:hAnsi="Arial"/>
        </w:rPr>
        <w:instrText xml:space="preserve"> MERGEFIELD ContractName </w:instrText>
      </w:r>
      <w:r>
        <w:rPr>
          <w:sz w:val="18"/>
          <w:rFonts w:cs="Arial" w:ascii="Arial" w:hAnsi="Arial"/>
        </w:rPr>
        <w:fldChar w:fldCharType="separate"/>
      </w:r>
      <w:r>
        <w:rPr>
          <w:sz w:val="18"/>
          <w:rFonts w:cs="Arial" w:ascii="Arial" w:hAnsi="Arial"/>
        </w:rPr>
        <w:t>Master Energy Purchase and Sale Agreement</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r>
        <w:rPr>
          <w:rFonts w:cs="Arial" w:ascii="Arial" w:hAnsi="Arial"/>
          <w:sz w:val="18"/>
        </w:rPr>
        <w:t xml:space="preserve">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April 1, 1999</w:t>
      </w:r>
      <w:r>
        <w:rPr>
          <w:sz w:val="18"/>
          <w:rFonts w:cs="Arial" w:ascii="Arial" w:hAnsi="Arial"/>
        </w:rPr>
        <w:fldChar w:fldCharType="end"/>
      </w:r>
      <w:r>
        <w:rPr>
          <w:rFonts w:cs="Arial" w:ascii="Arial" w:hAnsi="Arial"/>
          <w:sz w:val="18"/>
        </w:rPr>
        <w:t>, and constitutes part of and is subject to all of the terms and provisions of such agreement. Notwithstanding any contrary provisions in the Agreement, any conflict between this Confirmation and the Agreement shall be resolved in favor of this Confirmation. Terms used but not defined herein shall have the meanings ascribed to them in the Agreement.</w:t>
      </w:r>
    </w:p>
    <w:p>
      <w:pPr>
        <w:pStyle w:val="Normal"/>
        <w:rPr>
          <w:rFonts w:ascii="Arial" w:hAnsi="Arial" w:eastAsia="Arial" w:cs="Arial"/>
          <w:sz w:val="18"/>
        </w:rPr>
      </w:pPr>
      <w:r>
        <w:rPr>
          <w:rFonts w:eastAsia="Arial" w:cs="Arial" w:ascii="Arial" w:hAnsi="Arial"/>
          <w:sz w:val="18"/>
        </w:rPr>
        <w:t xml:space="preserve"> </w:t>
      </w:r>
    </w:p>
    <w:p>
      <w:pPr>
        <w:pStyle w:val="Normal"/>
        <w:keepNext w:val="true"/>
        <w:keepLines/>
        <w:jc w:val="both"/>
        <w:rPr>
          <w:rFonts w:ascii="Arial" w:hAnsi="Arial" w:cs="Arial"/>
          <w:sz w:val="18"/>
        </w:rPr>
      </w:pPr>
      <w:r>
        <w:rPr>
          <w:rFonts w:cs="Arial" w:ascii="Arial" w:hAnsi="Arial"/>
          <w:sz w:val="18"/>
        </w:rPr>
      </w:r>
    </w:p>
    <w:p>
      <w:pPr>
        <w:pStyle w:val="Normal"/>
        <w:keepNext w:val="true"/>
        <w:keepLines/>
        <w:jc w:val="both"/>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September12, 2001</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FPL Energy Power Marketing, Inc.</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By:           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_________________________</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w:t>
        <w:tab/>
        <w:tab/>
        <w:t xml:space="preserve">Name:  ________________________ </w:t>
      </w:r>
    </w:p>
    <w:p>
      <w:pPr>
        <w:pStyle w:val="Normal"/>
        <w:keepNext w:val="true"/>
        <w:keepLines/>
        <w:rPr>
          <w:rFonts w:ascii="Arial" w:hAnsi="Arial" w:cs="Arial"/>
          <w:sz w:val="18"/>
        </w:rPr>
      </w:pPr>
      <w:r>
        <w:rPr>
          <w:rFonts w:cs="Arial" w:ascii="Arial" w:hAnsi="Arial"/>
          <w:sz w:val="18"/>
        </w:rPr>
        <w:t>Title:        __________________________</w:t>
        <w:tab/>
        <w:tab/>
        <w:t xml:space="preserve">Title:     _________________________ </w:t>
      </w:r>
    </w:p>
    <w:p>
      <w:pPr>
        <w:pStyle w:val="Normal"/>
        <w:keepNext w:val="true"/>
        <w:keepLines/>
        <w:rPr>
          <w:rFonts w:ascii="Arial" w:hAnsi="Arial" w:cs="Arial"/>
          <w:sz w:val="18"/>
        </w:rPr>
      </w:pPr>
      <w:r>
        <w:rPr>
          <w:rFonts w:cs="Arial" w:ascii="Arial" w:hAnsi="Arial"/>
          <w:sz w:val="18"/>
        </w:rPr>
        <w:tab/>
        <w:tab/>
        <w:tab/>
        <w:tab/>
        <w:tab/>
        <w:tab/>
        <w:tab/>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headerReference w:type="default" r:id="rId3"/>
      <w:footerReference w:type="default" r:id="rId4"/>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ind w:start="6030" w:end="0"/>
      <w:rPr>
        <w:rFonts w:ascii="Arial" w:hAnsi="Arial" w:cs="Arial"/>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rFonts w:cs="Arial" w:ascii="Arial" w:hAnsi="Arial"/>
      </w:rPr>
      <w:fldChar w:fldCharType="begin"/>
    </w:r>
    <w:r>
      <w:rPr>
        <w:rFonts w:cs="Arial" w:ascii="Arial" w:hAnsi="Arial"/>
      </w:rPr>
      <w:instrText xml:space="preserve"> AUTHOR </w:instrText>
    </w:r>
    <w:r>
      <w:rPr>
        <w:rFonts w:cs="Arial" w:ascii="Arial" w:hAnsi="Arial"/>
      </w:rPr>
      <w:fldChar w:fldCharType="separate"/>
    </w:r>
    <w:r>
      <w:rPr>
        <w:rFonts w:cs="Arial" w:ascii="Arial" w:hAnsi="Arial"/>
      </w:rPr>
      <w:t xml:space="preserve"> </w:t>
    </w:r>
    <w:r>
      <w:rPr>
        <w:rFonts w:cs="Arial" w:ascii="Arial" w:hAnsi="Arial"/>
      </w:rPr>
      <w:fldChar w:fldCharType="end"/>
    </w:r>
  </w:p>
  <w:p>
    <w:pPr>
      <w:pStyle w:val="Header"/>
      <w:tabs>
        <w:tab w:val="center" w:pos="4320" w:leader="none"/>
        <w:tab w:val="left" w:pos="7380" w:leader="none"/>
        <w:tab w:val="right" w:pos="8640" w:leader="none"/>
      </w:tabs>
      <w:ind w:start="6030" w:end="0"/>
      <w:rPr/>
    </w:pPr>
    <w:r>
      <w:rPr>
        <w:rFonts w:cs="Arial" w:ascii="Arial" w:hAnsi="Arial"/>
      </w:rPr>
      <w:t xml:space="preserve">Deal No. </w:t>
    </w:r>
    <w:r>
      <w:rPr>
        <w:rFonts w:cs="Arial" w:ascii="Arial" w:hAnsi="Arial"/>
      </w:rPr>
      <w:fldChar w:fldCharType="begin"/>
    </w:r>
    <w:r>
      <w:rPr>
        <w:rFonts w:cs="Arial" w:ascii="Arial" w:hAnsi="Arial"/>
      </w:rPr>
      <w:instrText xml:space="preserve"> TITLE </w:instrText>
    </w:r>
    <w:r>
      <w:rPr>
        <w:rFonts w:cs="Arial" w:ascii="Arial" w:hAnsi="Arial"/>
      </w:rPr>
      <w:fldChar w:fldCharType="separate"/>
    </w:r>
    <w:r>
      <w:rPr>
        <w:rFonts w:cs="Arial" w:ascii="Arial" w:hAnsi="Arial"/>
      </w:rPr>
      <w:t>746034.01</w:t>
    </w:r>
    <w:r>
      <w:rPr>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Arial" w:hAnsi="Arial" w:cs="Arial"/>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2001-09-12T16:26:00Z</dcterms:created>
  <dc:creator> </dc:creator>
  <dc:description/>
  <dc:language>en-CA</dc:language>
  <cp:lastModifiedBy>Keith Emery</cp:lastModifiedBy>
  <cp:lastPrinted>2001-09-12T13:38:00Z</cp:lastPrinted>
  <dcterms:modified xsi:type="dcterms:W3CDTF">2001-09-12T16:26:00Z</dcterms:modified>
  <cp:revision>2</cp:revision>
  <dc:subject/>
  <dc:title>746034.01</dc:title>
</cp:coreProperties>
</file>