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FOW Paper</w:t>
      </w:r>
    </w:p>
    <w:p>
      <w:pPr>
        <w:pStyle w:val="Heading"/>
        <w:rPr/>
      </w:pPr>
      <w:r>
        <w:rPr/>
        <w:tab/>
      </w:r>
      <w:r>
        <w:rPr>
          <w:sz w:val="24"/>
        </w:rPr>
        <w:t>H Joseph Hrgovcic and Gary G Taylor</w:t>
      </w:r>
    </w:p>
    <w:p>
      <w:pPr>
        <w:pStyle w:val="Heading"/>
        <w:jc w:val="start"/>
        <w:rPr>
          <w:sz w:val="24"/>
        </w:rPr>
      </w:pPr>
      <w:r>
        <w:rPr>
          <w:sz w:val="24"/>
        </w:rPr>
      </w:r>
    </w:p>
    <w:p>
      <w:pPr>
        <w:pStyle w:val="Heading"/>
        <w:jc w:val="start"/>
        <w:rPr>
          <w:sz w:val="24"/>
        </w:rPr>
      </w:pPr>
      <w:r>
        <w:rPr>
          <w:sz w:val="24"/>
        </w:rPr>
        <w:t>(Suggested outline)</w:t>
      </w:r>
    </w:p>
    <w:p>
      <w:pPr>
        <w:pStyle w:val="Heading"/>
        <w:jc w:val="start"/>
        <w:rPr>
          <w:sz w:val="24"/>
        </w:rPr>
      </w:pPr>
      <w:r>
        <w:rPr>
          <w:sz w:val="24"/>
        </w:rPr>
        <w:t xml:space="preserve">I </w:t>
        <w:tab/>
        <w:t>Trading on EOL</w:t>
      </w:r>
    </w:p>
    <w:p>
      <w:pPr>
        <w:pStyle w:val="Heading"/>
        <w:jc w:val="start"/>
        <w:rPr>
          <w:sz w:val="24"/>
        </w:rPr>
      </w:pPr>
      <w:r>
        <w:rPr>
          <w:sz w:val="24"/>
        </w:rPr>
        <w:tab/>
        <w:t>A.  Comparison with other websites and exchanges</w:t>
      </w:r>
    </w:p>
    <w:p>
      <w:pPr>
        <w:pStyle w:val="Heading"/>
        <w:jc w:val="start"/>
        <w:rPr>
          <w:sz w:val="24"/>
        </w:rPr>
      </w:pPr>
      <w:r>
        <w:rPr>
          <w:sz w:val="24"/>
        </w:rPr>
        <w:tab/>
        <w:t>B.  Challenges in operating EOL</w:t>
      </w:r>
    </w:p>
    <w:p>
      <w:pPr>
        <w:pStyle w:val="Heading"/>
        <w:jc w:val="start"/>
        <w:rPr>
          <w:sz w:val="24"/>
        </w:rPr>
      </w:pPr>
      <w:r>
        <w:rPr>
          <w:sz w:val="24"/>
        </w:rPr>
        <w:t xml:space="preserve">II </w:t>
        <w:tab/>
        <w:t>Increased liquidity and transparency</w:t>
      </w:r>
    </w:p>
    <w:p>
      <w:pPr>
        <w:pStyle w:val="Heading"/>
        <w:numPr>
          <w:ilvl w:val="0"/>
          <w:numId w:val="3"/>
        </w:numPr>
        <w:jc w:val="start"/>
        <w:rPr>
          <w:sz w:val="24"/>
        </w:rPr>
      </w:pPr>
      <w:r>
        <w:rPr>
          <w:sz w:val="24"/>
        </w:rPr>
        <w:t>The search for end-users</w:t>
      </w:r>
    </w:p>
    <w:p>
      <w:pPr>
        <w:pStyle w:val="Heading"/>
        <w:numPr>
          <w:ilvl w:val="0"/>
          <w:numId w:val="3"/>
        </w:numPr>
        <w:jc w:val="start"/>
        <w:rPr>
          <w:sz w:val="24"/>
        </w:rPr>
      </w:pPr>
      <w:r>
        <w:rPr>
          <w:sz w:val="24"/>
        </w:rPr>
        <w:t>Consolidation of the market</w:t>
      </w:r>
    </w:p>
    <w:p>
      <w:pPr>
        <w:pStyle w:val="Heading"/>
        <w:numPr>
          <w:ilvl w:val="0"/>
          <w:numId w:val="2"/>
        </w:numPr>
        <w:jc w:val="start"/>
        <w:rPr>
          <w:sz w:val="24"/>
        </w:rPr>
      </w:pPr>
      <w:r>
        <w:rPr>
          <w:sz w:val="24"/>
        </w:rPr>
        <w:t>Transition from seasonal to day-to-day trading</w:t>
      </w:r>
    </w:p>
    <w:p>
      <w:pPr>
        <w:pStyle w:val="Heading"/>
        <w:rPr>
          <w:sz w:val="24"/>
        </w:rPr>
      </w:pPr>
      <w:r>
        <w:rPr>
          <w:sz w:val="24"/>
        </w:rPr>
      </w:r>
    </w:p>
    <w:p>
      <w:pPr>
        <w:pStyle w:val="PlainText"/>
        <w:jc w:val="both"/>
        <w:rPr>
          <w:sz w:val="24"/>
        </w:rPr>
      </w:pPr>
      <w:r>
        <w:rPr>
          <w:sz w:val="24"/>
        </w:rPr>
      </w:r>
    </w:p>
    <w:p>
      <w:pPr>
        <w:pStyle w:val="PlainText"/>
        <w:ind w:firstLine="720" w:end="0"/>
        <w:jc w:val="both"/>
        <w:rPr/>
      </w:pPr>
      <w:r>
        <w:rPr>
          <w:rFonts w:cs="Times New Roman" w:ascii="Times New Roman" w:hAnsi="Times New Roman"/>
          <w:sz w:val="24"/>
        </w:rPr>
        <w:t xml:space="preserve">The weather derivatives industry has recently experienced a surge in activity due to internet trading. Although this still-new industry lacks an active exchange akin to, say, NYMEX, the growing volume of weather-linked internet transactions have served to provide some of the same benefits to the market, namely, increased </w:t>
      </w:r>
      <w:r>
        <w:rPr>
          <w:rFonts w:cs="Times New Roman" w:ascii="Times New Roman" w:hAnsi="Times New Roman"/>
          <w:b/>
          <w:color w:val="0000FF"/>
          <w:sz w:val="24"/>
        </w:rPr>
        <w:t>liquidity</w:t>
      </w:r>
      <w:r>
        <w:rPr>
          <w:rFonts w:cs="Times New Roman" w:ascii="Times New Roman" w:hAnsi="Times New Roman"/>
          <w:sz w:val="24"/>
        </w:rPr>
        <w:t xml:space="preserve"> and </w:t>
      </w:r>
      <w:r>
        <w:rPr>
          <w:rFonts w:cs="Times New Roman" w:ascii="Times New Roman" w:hAnsi="Times New Roman"/>
          <w:b/>
          <w:color w:val="0000FF"/>
          <w:sz w:val="24"/>
        </w:rPr>
        <w:t>transparency</w:t>
      </w:r>
      <w:r>
        <w:rPr>
          <w:rFonts w:cs="Times New Roman" w:ascii="Times New Roman" w:hAnsi="Times New Roman"/>
          <w:sz w:val="24"/>
        </w:rPr>
        <w:t xml:space="preserve">. Internet activity has also transformed what had previously been a market on seasonal weather patterns into a market that is increasingly concerned with </w:t>
      </w:r>
      <w:r>
        <w:rPr>
          <w:rFonts w:cs="Times New Roman" w:ascii="Times New Roman" w:hAnsi="Times New Roman"/>
          <w:b/>
          <w:color w:val="0000FF"/>
          <w:sz w:val="24"/>
        </w:rPr>
        <w:t>day-to-day</w:t>
      </w:r>
      <w:r>
        <w:rPr>
          <w:rFonts w:cs="Times New Roman" w:ascii="Times New Roman" w:hAnsi="Times New Roman"/>
          <w:sz w:val="24"/>
        </w:rPr>
        <w:t xml:space="preserve"> weather fluctuations.</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PlainText"/>
        <w:ind w:firstLine="720" w:end="0"/>
        <w:jc w:val="both"/>
        <w:rPr>
          <w:rFonts w:ascii="Times New Roman" w:hAnsi="Times New Roman" w:cs="Times New Roman"/>
          <w:sz w:val="24"/>
        </w:rPr>
      </w:pPr>
      <w:r>
        <w:rPr>
          <w:rFonts w:cs="Times New Roman" w:ascii="Times New Roman" w:hAnsi="Times New Roman"/>
          <w:sz w:val="24"/>
        </w:rPr>
        <w:t>By one count, at least seven weather derivative web sites have opened over the past year. The functionality and scope of the sites vary. Most provide at least general information on the basics of weather derivatives. Two of the new sites, established by Swiss Re, and by Enron are notable in that they allow customers to transact deals entirely online. Enron’s experience in setting up Enron Online will likely serve as a benchmark for future sites, and it is this site that we shall focus on in the remainder of this paper.</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PlainText"/>
        <w:ind w:firstLine="90" w:end="0"/>
        <w:jc w:val="both"/>
        <w:rPr>
          <w:rFonts w:ascii="Times New Roman" w:hAnsi="Times New Roman" w:cs="Times New Roman"/>
          <w:b/>
          <w:sz w:val="24"/>
        </w:rPr>
      </w:pPr>
      <w:r>
        <w:rPr>
          <w:rFonts w:cs="Times New Roman" w:ascii="Times New Roman" w:hAnsi="Times New Roman"/>
          <w:b/>
          <w:sz w:val="24"/>
        </w:rPr>
        <w:t>Enron Online</w:t>
      </w:r>
    </w:p>
    <w:p>
      <w:pPr>
        <w:pStyle w:val="PlainText"/>
        <w:jc w:val="both"/>
        <w:rPr>
          <w:rFonts w:ascii="Times New Roman" w:hAnsi="Times New Roman" w:cs="Times New Roman"/>
          <w:b/>
          <w:sz w:val="24"/>
        </w:rPr>
      </w:pPr>
      <w:r>
        <w:rPr>
          <w:rFonts w:cs="Times New Roman" w:ascii="Times New Roman" w:hAnsi="Times New Roman"/>
          <w:b/>
          <w:sz w:val="24"/>
        </w:rPr>
      </w:r>
    </w:p>
    <w:p>
      <w:pPr>
        <w:pStyle w:val="BodyText2"/>
        <w:ind w:firstLine="720" w:end="0"/>
        <w:rPr/>
      </w:pPr>
      <w:r>
        <w:rPr/>
        <w:t>On Enron Online, which began trading weather derivatives in January of 2000 the weather derivatives currently offers monthly and seasonal degree day swaps for approximately a dozen major US cities. The contract listing has recently expanded to include several European, Japanese and Australian cities and numerous other cities and products are scheduled for release before the end of the year. (See Table)</w:t>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tabs>
          <w:tab w:val="clear" w:pos="720"/>
          <w:tab w:val="left" w:pos="4410" w:leader="none"/>
        </w:tabs>
        <w:ind w:firstLine="720" w:end="0"/>
        <w:rPr/>
      </w:pPr>
      <w:r>
        <w:rPr/>
      </w:r>
    </w:p>
    <w:p>
      <w:pPr>
        <w:pStyle w:val="BodyText2"/>
        <w:ind w:firstLine="720" w:end="0"/>
        <w:rPr/>
      </w:pPr>
      <w:r>
        <w:rPr/>
      </w:r>
    </w:p>
    <w:tbl>
      <w:tblPr>
        <w:tblW w:w="13938" w:type="dxa"/>
        <w:jc w:val="start"/>
        <w:tblInd w:w="0" w:type="dxa"/>
        <w:tblLayout w:type="fixed"/>
        <w:tblCellMar>
          <w:top w:w="0" w:type="dxa"/>
          <w:start w:w="30" w:type="dxa"/>
          <w:bottom w:w="0" w:type="dxa"/>
          <w:end w:w="30" w:type="dxa"/>
        </w:tblCellMar>
      </w:tblPr>
      <w:tblGrid>
        <w:gridCol w:w="1740"/>
        <w:gridCol w:w="86"/>
        <w:gridCol w:w="79"/>
        <w:gridCol w:w="315"/>
        <w:gridCol w:w="1230"/>
        <w:gridCol w:w="202"/>
        <w:gridCol w:w="338"/>
        <w:gridCol w:w="180"/>
        <w:gridCol w:w="90"/>
        <w:gridCol w:w="83"/>
        <w:gridCol w:w="685"/>
        <w:gridCol w:w="631"/>
        <w:gridCol w:w="3101"/>
        <w:gridCol w:w="1249"/>
        <w:gridCol w:w="1319"/>
        <w:gridCol w:w="630"/>
        <w:gridCol w:w="1349"/>
        <w:gridCol w:w="1"/>
        <w:gridCol w:w="630"/>
      </w:tblGrid>
      <w:tr>
        <w:trPr>
          <w:trHeight w:val="492" w:hRule="atLeast"/>
        </w:trPr>
        <w:tc>
          <w:tcPr>
            <w:tcW w:w="3990" w:type="dxa"/>
            <w:gridSpan w:val="7"/>
            <w:tcBorders/>
          </w:tcPr>
          <w:p>
            <w:pPr>
              <w:pStyle w:val="Heading9"/>
              <w:ind w:hanging="0" w:start="0"/>
              <w:rPr/>
            </w:pPr>
            <w:r>
              <w:rPr>
                <w:rFonts w:eastAsia="Arial"/>
              </w:rPr>
              <w:t xml:space="preserve">                          </w:t>
            </w:r>
            <w:r>
              <w:rPr/>
              <w:t xml:space="preserve">United </w:t>
            </w:r>
          </w:p>
        </w:tc>
        <w:tc>
          <w:tcPr>
            <w:tcW w:w="0" w:type="dxa"/>
            <w:vMerge w:val="continue"/>
            <w:tcBorders/>
          </w:tcPr>
          <w:p>
            <w:pPr>
              <w:pStyle w:val="Normal"/>
              <w:snapToGrid w:val="false"/>
              <w:rPr>
                <w:rFonts w:ascii="Arial" w:hAnsi="Arial" w:cs="Arial"/>
                <w:b/>
                <w:color w:val="000000"/>
                <w:sz w:val="36"/>
                <w:lang w:eastAsia="en-US"/>
              </w:rPr>
            </w:pPr>
            <w:r>
              <w:rPr>
                <w:rFonts w:cs="Arial" w:ascii="Arial" w:hAnsi="Arial"/>
                <w:b/>
                <w:color w:val="000000"/>
                <w:sz w:val="36"/>
                <w:lang w:eastAsia="en-US"/>
              </w:rPr>
            </w:r>
          </w:p>
        </w:tc>
        <w:tc>
          <w:tcPr>
            <w:tcW w:w="1669" w:type="dxa"/>
            <w:gridSpan w:val="5"/>
            <w:tcBorders/>
          </w:tcPr>
          <w:p>
            <w:pPr>
              <w:pStyle w:val="Heading9"/>
              <w:ind w:hanging="0" w:start="0"/>
              <w:rPr/>
            </w:pPr>
            <w:r>
              <w:rPr/>
              <w:t>States</w:t>
            </w:r>
          </w:p>
        </w:tc>
        <w:tc>
          <w:tcPr>
            <w:tcW w:w="4350" w:type="dxa"/>
            <w:gridSpan w:val="2"/>
            <w:tcBorders/>
          </w:tcPr>
          <w:p>
            <w:pPr>
              <w:pStyle w:val="Heading9"/>
              <w:snapToGrid w:val="false"/>
              <w:ind w:hanging="0" w:start="0"/>
              <w:rPr/>
            </w:pPr>
            <w:r>
              <w:rPr/>
            </w:r>
          </w:p>
        </w:tc>
        <w:tc>
          <w:tcPr>
            <w:tcW w:w="1949" w:type="dxa"/>
            <w:gridSpan w:val="2"/>
            <w:tcBorders/>
          </w:tcPr>
          <w:p>
            <w:pPr>
              <w:pStyle w:val="Normal"/>
              <w:snapToGrid w:val="false"/>
              <w:rPr>
                <w:rFonts w:ascii="Arial" w:hAnsi="Arial" w:cs="Arial"/>
                <w:b/>
                <w:color w:val="000000"/>
                <w:sz w:val="36"/>
                <w:lang w:eastAsia="en-US"/>
              </w:rPr>
            </w:pPr>
            <w:r>
              <w:rPr>
                <w:rFonts w:cs="Arial" w:ascii="Arial" w:hAnsi="Arial"/>
                <w:b/>
                <w:color w:val="000000"/>
                <w:sz w:val="36"/>
                <w:lang w:eastAsia="en-US"/>
              </w:rPr>
            </w:r>
          </w:p>
        </w:tc>
        <w:tc>
          <w:tcPr>
            <w:tcW w:w="1980" w:type="dxa"/>
            <w:gridSpan w:val="3"/>
            <w:tcBorders/>
          </w:tcPr>
          <w:p>
            <w:pPr>
              <w:pStyle w:val="Normal"/>
              <w:snapToGrid w:val="false"/>
              <w:rPr>
                <w:rFonts w:ascii="Arial" w:hAnsi="Arial" w:cs="Arial"/>
                <w:b/>
                <w:color w:val="000000"/>
                <w:sz w:val="36"/>
                <w:lang w:eastAsia="en-US"/>
              </w:rPr>
            </w:pPr>
            <w:r>
              <w:rPr>
                <w:rFonts w:cs="Arial" w:ascii="Arial" w:hAnsi="Arial"/>
                <w:b/>
                <w:color w:val="000000"/>
                <w:sz w:val="36"/>
                <w:lang w:eastAsia="en-US"/>
              </w:rPr>
            </w:r>
          </w:p>
        </w:tc>
      </w:tr>
      <w:tr>
        <w:trPr>
          <w:trHeight w:val="310" w:hRule="atLeast"/>
        </w:trPr>
        <w:tc>
          <w:tcPr>
            <w:tcW w:w="3450" w:type="dxa"/>
            <w:gridSpan w:val="5"/>
            <w:tcBorders/>
          </w:tcPr>
          <w:p>
            <w:pPr>
              <w:pStyle w:val="Normal"/>
              <w:ind w:end="-660"/>
              <w:rPr>
                <w:rFonts w:ascii="Arial" w:hAnsi="Arial" w:cs="Arial"/>
                <w:b/>
                <w:color w:val="000000"/>
                <w:sz w:val="24"/>
                <w:lang w:eastAsia="en-US"/>
              </w:rPr>
            </w:pPr>
            <w:r>
              <w:rPr>
                <w:rFonts w:cs="Arial" w:ascii="Arial" w:hAnsi="Arial"/>
                <w:b/>
                <w:color w:val="000000"/>
                <w:sz w:val="24"/>
                <w:lang w:eastAsia="en-US"/>
              </w:rPr>
              <w:t>Atlanta, GA</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8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0" w:type="dxa"/>
            <w:gridSpan w:val="4"/>
            <w:tcBorders/>
          </w:tcPr>
          <w:p>
            <w:pPr>
              <w:pStyle w:val="Normal"/>
              <w:rPr>
                <w:rFonts w:ascii="Arial" w:hAnsi="Arial" w:cs="Arial"/>
                <w:b/>
                <w:color w:val="000000"/>
                <w:sz w:val="24"/>
                <w:lang w:eastAsia="en-US"/>
              </w:rPr>
            </w:pPr>
            <w:r>
              <w:rPr>
                <w:rFonts w:cs="Arial" w:ascii="Arial" w:hAnsi="Arial"/>
                <w:b/>
                <w:color w:val="000000"/>
                <w:sz w:val="24"/>
                <w:lang w:eastAsia="en-US"/>
              </w:rPr>
              <w:t>New York, NY - LAG</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5178" w:type="dxa"/>
            <w:gridSpan w:val="6"/>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3450" w:type="dxa"/>
            <w:gridSpan w:val="5"/>
            <w:tcBorders/>
          </w:tcPr>
          <w:p>
            <w:pPr>
              <w:pStyle w:val="Normal"/>
              <w:rPr>
                <w:rFonts w:ascii="Arial" w:hAnsi="Arial" w:cs="Arial"/>
                <w:b/>
                <w:color w:val="000000"/>
                <w:sz w:val="24"/>
                <w:lang w:eastAsia="en-US"/>
              </w:rPr>
            </w:pPr>
            <w:r>
              <w:rPr>
                <w:rFonts w:cs="Arial" w:ascii="Arial" w:hAnsi="Arial"/>
                <w:b/>
                <w:color w:val="000000"/>
                <w:sz w:val="24"/>
                <w:lang w:eastAsia="en-US"/>
              </w:rPr>
              <w:t>Boston, MA</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8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0" w:type="dxa"/>
            <w:gridSpan w:val="4"/>
            <w:tcBorders/>
          </w:tcPr>
          <w:p>
            <w:pPr>
              <w:pStyle w:val="Normal"/>
              <w:rPr>
                <w:rFonts w:ascii="Arial" w:hAnsi="Arial" w:cs="Arial"/>
                <w:b/>
                <w:color w:val="000000"/>
                <w:sz w:val="24"/>
                <w:lang w:eastAsia="en-US"/>
              </w:rPr>
            </w:pPr>
            <w:r>
              <w:rPr>
                <w:rFonts w:cs="Arial" w:ascii="Arial" w:hAnsi="Arial"/>
                <w:b/>
                <w:color w:val="000000"/>
                <w:sz w:val="24"/>
                <w:lang w:eastAsia="en-US"/>
              </w:rPr>
              <w:t>Philadelphia, PA</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5178" w:type="dxa"/>
            <w:gridSpan w:val="6"/>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3450" w:type="dxa"/>
            <w:gridSpan w:val="5"/>
            <w:tcBorders/>
          </w:tcPr>
          <w:p>
            <w:pPr>
              <w:pStyle w:val="Normal"/>
              <w:rPr>
                <w:rFonts w:ascii="Arial" w:hAnsi="Arial" w:cs="Arial"/>
                <w:b/>
                <w:color w:val="000000"/>
                <w:sz w:val="24"/>
                <w:lang w:eastAsia="en-US"/>
              </w:rPr>
            </w:pPr>
            <w:r>
              <w:rPr>
                <w:rFonts w:cs="Arial" w:ascii="Arial" w:hAnsi="Arial"/>
                <w:b/>
                <w:color w:val="000000"/>
                <w:sz w:val="24"/>
                <w:lang w:eastAsia="en-US"/>
              </w:rPr>
              <w:t>Chicago, IL</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8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0" w:type="dxa"/>
            <w:gridSpan w:val="4"/>
            <w:tcBorders/>
          </w:tcPr>
          <w:p>
            <w:pPr>
              <w:pStyle w:val="Normal"/>
              <w:rPr>
                <w:rFonts w:ascii="Arial" w:hAnsi="Arial" w:cs="Arial"/>
                <w:b/>
                <w:color w:val="000000"/>
                <w:sz w:val="24"/>
                <w:lang w:eastAsia="en-US"/>
              </w:rPr>
            </w:pPr>
            <w:r>
              <w:rPr>
                <w:rFonts w:cs="Arial" w:ascii="Arial" w:hAnsi="Arial"/>
                <w:b/>
                <w:color w:val="000000"/>
                <w:sz w:val="24"/>
                <w:lang w:eastAsia="en-US"/>
              </w:rPr>
              <w:t>Phoenix, AZ</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5178" w:type="dxa"/>
            <w:gridSpan w:val="6"/>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3450" w:type="dxa"/>
            <w:gridSpan w:val="5"/>
            <w:tcBorders/>
          </w:tcPr>
          <w:p>
            <w:pPr>
              <w:pStyle w:val="Normal"/>
              <w:rPr>
                <w:rFonts w:ascii="Arial" w:hAnsi="Arial" w:cs="Arial"/>
                <w:b/>
                <w:color w:val="000000"/>
                <w:sz w:val="24"/>
                <w:lang w:eastAsia="en-US"/>
              </w:rPr>
            </w:pPr>
            <w:r>
              <w:rPr>
                <w:rFonts w:cs="Arial" w:ascii="Arial" w:hAnsi="Arial"/>
                <w:b/>
                <w:color w:val="000000"/>
                <w:sz w:val="24"/>
                <w:lang w:eastAsia="en-US"/>
              </w:rPr>
              <w:t>Cincinnati, OH</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8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0" w:type="dxa"/>
            <w:gridSpan w:val="4"/>
            <w:tcBorders/>
          </w:tcPr>
          <w:p>
            <w:pPr>
              <w:pStyle w:val="Normal"/>
              <w:rPr>
                <w:rFonts w:ascii="Arial" w:hAnsi="Arial" w:cs="Arial"/>
                <w:b/>
                <w:color w:val="000000"/>
                <w:sz w:val="24"/>
                <w:lang w:eastAsia="en-US"/>
              </w:rPr>
            </w:pPr>
            <w:r>
              <w:rPr>
                <w:rFonts w:cs="Arial" w:ascii="Arial" w:hAnsi="Arial"/>
                <w:b/>
                <w:color w:val="000000"/>
                <w:sz w:val="24"/>
                <w:lang w:eastAsia="en-US"/>
              </w:rPr>
              <w:t>Sacramento, CA</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5178" w:type="dxa"/>
            <w:gridSpan w:val="6"/>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3450" w:type="dxa"/>
            <w:gridSpan w:val="5"/>
            <w:tcBorders/>
          </w:tcPr>
          <w:p>
            <w:pPr>
              <w:pStyle w:val="Normal"/>
              <w:rPr>
                <w:rFonts w:ascii="Arial" w:hAnsi="Arial" w:cs="Arial"/>
                <w:b/>
                <w:color w:val="000000"/>
                <w:sz w:val="24"/>
                <w:lang w:eastAsia="en-US"/>
              </w:rPr>
            </w:pPr>
            <w:r>
              <w:rPr>
                <w:rFonts w:cs="Arial" w:ascii="Arial" w:hAnsi="Arial"/>
                <w:b/>
                <w:color w:val="000000"/>
                <w:sz w:val="24"/>
                <w:lang w:eastAsia="en-US"/>
              </w:rPr>
              <w:t>Houston, TX</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8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0" w:type="dxa"/>
            <w:gridSpan w:val="4"/>
            <w:tcBorders/>
          </w:tcPr>
          <w:p>
            <w:pPr>
              <w:pStyle w:val="Normal"/>
              <w:rPr>
                <w:rFonts w:ascii="Arial" w:hAnsi="Arial" w:cs="Arial"/>
                <w:b/>
                <w:color w:val="000000"/>
                <w:sz w:val="24"/>
                <w:lang w:eastAsia="en-US"/>
              </w:rPr>
            </w:pPr>
            <w:r>
              <w:rPr>
                <w:rFonts w:cs="Arial" w:ascii="Arial" w:hAnsi="Arial"/>
                <w:b/>
                <w:color w:val="000000"/>
                <w:sz w:val="24"/>
                <w:lang w:eastAsia="en-US"/>
              </w:rPr>
              <w:t>Washington, DC</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5178" w:type="dxa"/>
            <w:gridSpan w:val="6"/>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3450" w:type="dxa"/>
            <w:gridSpan w:val="5"/>
            <w:tcBorders/>
          </w:tcPr>
          <w:p>
            <w:pPr>
              <w:pStyle w:val="Normal"/>
              <w:rPr>
                <w:rFonts w:ascii="Arial" w:hAnsi="Arial" w:cs="Arial"/>
                <w:b/>
                <w:color w:val="000000"/>
                <w:sz w:val="24"/>
                <w:lang w:eastAsia="en-US"/>
              </w:rPr>
            </w:pPr>
            <w:r>
              <w:rPr>
                <w:rFonts w:cs="Arial" w:ascii="Arial" w:hAnsi="Arial"/>
                <w:b/>
                <w:color w:val="000000"/>
                <w:sz w:val="24"/>
                <w:lang w:eastAsia="en-US"/>
              </w:rPr>
              <w:t>Little Rock, AR</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8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rPr>
                <w:rFonts w:ascii="Arial" w:hAnsi="Arial" w:cs="Arial"/>
                <w:b/>
                <w:color w:val="000000"/>
                <w:sz w:val="24"/>
                <w:lang w:eastAsia="en-US"/>
              </w:rPr>
            </w:pPr>
            <w:r>
              <w:rPr>
                <w:rFonts w:cs="Arial" w:ascii="Arial" w:hAnsi="Arial"/>
                <w:b/>
                <w:color w:val="000000"/>
                <w:sz w:val="24"/>
                <w:lang w:eastAsia="en-US"/>
              </w:rPr>
            </w:r>
          </w:p>
        </w:tc>
        <w:tc>
          <w:tcPr>
            <w:tcW w:w="4417" w:type="dxa"/>
            <w:gridSpan w:val="3"/>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5178" w:type="dxa"/>
            <w:gridSpan w:val="6"/>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427" w:hRule="atLeast"/>
        </w:trPr>
        <w:tc>
          <w:tcPr>
            <w:tcW w:w="1826" w:type="dxa"/>
            <w:gridSpan w:val="2"/>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76"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79" w:type="dxa"/>
            <w:gridSpan w:val="6"/>
            <w:tcBorders/>
          </w:tcPr>
          <w:p>
            <w:pPr>
              <w:pStyle w:val="Normal"/>
              <w:snapToGrid w:val="false"/>
              <w:jc w:val="center"/>
              <w:rPr>
                <w:rFonts w:ascii="Arial" w:hAnsi="Arial" w:cs="Arial"/>
                <w:b/>
                <w:color w:val="000000"/>
                <w:sz w:val="36"/>
                <w:lang w:eastAsia="en-US"/>
              </w:rPr>
            </w:pPr>
            <w:r>
              <w:rPr>
                <w:rFonts w:cs="Arial" w:ascii="Arial" w:hAnsi="Arial"/>
                <w:b/>
                <w:color w:val="000000"/>
                <w:sz w:val="36"/>
                <w:lang w:eastAsia="en-US"/>
              </w:rPr>
            </w:r>
          </w:p>
        </w:tc>
        <w:tc>
          <w:tcPr>
            <w:tcW w:w="0" w:type="dxa"/>
            <w:vMerge w:val="continue"/>
            <w:tcBorders/>
          </w:tcPr>
          <w:p>
            <w:pPr>
              <w:pStyle w:val="Normal"/>
              <w:snapToGrid w:val="false"/>
              <w:jc w:val="end"/>
              <w:rPr>
                <w:rFonts w:ascii="Arial" w:hAnsi="Arial" w:cs="Arial"/>
                <w:b/>
                <w:color w:val="000000"/>
                <w:sz w:val="36"/>
                <w:lang w:eastAsia="en-US"/>
              </w:rPr>
            </w:pPr>
            <w:r>
              <w:rPr>
                <w:rFonts w:cs="Arial" w:ascii="Arial" w:hAnsi="Arial"/>
                <w:b/>
                <w:color w:val="000000"/>
                <w:sz w:val="36"/>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1" w:type="dxa"/>
            <w:gridSpan w:val="2"/>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1905" w:type="dxa"/>
            <w:gridSpan w:val="3"/>
            <w:tcBorders/>
          </w:tcPr>
          <w:p>
            <w:pPr>
              <w:pStyle w:val="Normal"/>
              <w:rPr>
                <w:rFonts w:ascii="Arial" w:hAnsi="Arial" w:cs="Arial"/>
                <w:b/>
                <w:color w:val="000000"/>
                <w:sz w:val="36"/>
                <w:lang w:eastAsia="en-US"/>
              </w:rPr>
            </w:pPr>
            <w:r>
              <w:rPr>
                <w:rFonts w:cs="Arial" w:ascii="Arial" w:hAnsi="Arial"/>
                <w:b/>
                <w:color w:val="000000"/>
                <w:sz w:val="36"/>
                <w:lang w:eastAsia="en-US"/>
              </w:rPr>
              <w:t>Europe</w:t>
            </w:r>
          </w:p>
        </w:tc>
        <w:tc>
          <w:tcPr>
            <w:tcW w:w="2085" w:type="dxa"/>
            <w:gridSpan w:val="4"/>
            <w:tcBorders/>
          </w:tcPr>
          <w:p>
            <w:pPr>
              <w:pStyle w:val="Normal"/>
              <w:snapToGrid w:val="false"/>
              <w:rPr>
                <w:rFonts w:ascii="Arial" w:hAnsi="Arial" w:cs="Arial"/>
                <w:b/>
                <w:color w:val="000000"/>
                <w:sz w:val="36"/>
                <w:lang w:eastAsia="en-US"/>
              </w:rPr>
            </w:pPr>
            <w:r>
              <w:rPr>
                <w:rFonts w:cs="Arial" w:ascii="Arial" w:hAnsi="Arial"/>
                <w:b/>
                <w:color w:val="000000"/>
                <w:sz w:val="36"/>
                <w:lang w:eastAsia="en-US"/>
              </w:rPr>
            </w:r>
          </w:p>
        </w:tc>
        <w:tc>
          <w:tcPr>
            <w:tcW w:w="180" w:type="dxa"/>
            <w:tcBorders/>
          </w:tcPr>
          <w:p>
            <w:pPr>
              <w:pStyle w:val="Normal"/>
              <w:snapToGrid w:val="false"/>
              <w:jc w:val="end"/>
              <w:rPr>
                <w:rFonts w:ascii="Arial" w:hAnsi="Arial" w:cs="Arial"/>
                <w:b/>
                <w:color w:val="000000"/>
                <w:sz w:val="36"/>
                <w:lang w:eastAsia="en-US"/>
              </w:rPr>
            </w:pPr>
            <w:r>
              <w:rPr>
                <w:rFonts w:cs="Arial" w:ascii="Arial" w:hAnsi="Arial"/>
                <w:b/>
                <w:color w:val="000000"/>
                <w:sz w:val="36"/>
                <w:lang w:eastAsia="en-US"/>
              </w:rPr>
            </w:r>
          </w:p>
        </w:tc>
        <w:tc>
          <w:tcPr>
            <w:tcW w:w="7158" w:type="dxa"/>
            <w:gridSpan w:val="7"/>
            <w:tcBorders/>
          </w:tcPr>
          <w:p>
            <w:pPr>
              <w:pStyle w:val="Normal"/>
              <w:ind w:firstLine="11" w:start="-221" w:end="-1079"/>
              <w:rPr>
                <w:rFonts w:ascii="Arial" w:hAnsi="Arial" w:cs="Arial"/>
                <w:b/>
                <w:color w:val="000000"/>
                <w:sz w:val="36"/>
                <w:lang w:eastAsia="en-US"/>
              </w:rPr>
            </w:pPr>
            <w:r>
              <w:rPr>
                <w:rFonts w:eastAsia="Arial" w:cs="Arial" w:ascii="Arial" w:hAnsi="Arial"/>
                <w:b/>
                <w:color w:val="000000"/>
                <w:sz w:val="36"/>
                <w:lang w:eastAsia="en-US"/>
              </w:rPr>
              <w:t xml:space="preserve">  </w:t>
            </w:r>
            <w:r>
              <w:rPr>
                <w:rFonts w:cs="Arial" w:ascii="Arial" w:hAnsi="Arial"/>
                <w:b/>
                <w:color w:val="000000"/>
                <w:sz w:val="36"/>
                <w:lang w:eastAsia="en-US"/>
              </w:rPr>
              <w:t>Australia/Japan</w:t>
            </w:r>
          </w:p>
        </w:tc>
        <w:tc>
          <w:tcPr>
            <w:tcW w:w="0" w:type="dxa"/>
            <w:vMerge w:val="continue"/>
            <w:tcBorders/>
          </w:tcPr>
          <w:p>
            <w:pPr>
              <w:pStyle w:val="Normal"/>
              <w:snapToGrid w:val="false"/>
              <w:jc w:val="end"/>
              <w:rPr>
                <w:rFonts w:ascii="Arial" w:hAnsi="Arial" w:cs="Arial"/>
                <w:b/>
                <w:color w:val="000000"/>
                <w:sz w:val="36"/>
                <w:lang w:eastAsia="en-US"/>
              </w:rPr>
            </w:pPr>
            <w:r>
              <w:rPr>
                <w:rFonts w:cs="Arial" w:ascii="Arial" w:hAnsi="Arial"/>
                <w:b/>
                <w:color w:val="000000"/>
                <w:sz w:val="36"/>
                <w:lang w:eastAsia="en-US"/>
              </w:rPr>
            </w:r>
          </w:p>
        </w:tc>
        <w:tc>
          <w:tcPr>
            <w:tcW w:w="198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3990" w:type="dxa"/>
            <w:gridSpan w:val="7"/>
            <w:tcBorders/>
          </w:tcPr>
          <w:p>
            <w:pPr>
              <w:pStyle w:val="Normal"/>
              <w:rPr>
                <w:rFonts w:ascii="Arial" w:hAnsi="Arial" w:cs="Arial"/>
                <w:b/>
                <w:color w:val="000000"/>
                <w:sz w:val="24"/>
                <w:lang w:eastAsia="en-US"/>
              </w:rPr>
            </w:pPr>
            <w:r>
              <w:rPr>
                <w:rFonts w:cs="Arial" w:ascii="Arial" w:hAnsi="Arial"/>
                <w:b/>
                <w:color w:val="000000"/>
                <w:sz w:val="24"/>
                <w:lang w:eastAsia="en-US"/>
              </w:rPr>
              <w:t>London</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8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158" w:type="dxa"/>
            <w:gridSpan w:val="7"/>
            <w:tcBorders/>
          </w:tcPr>
          <w:p>
            <w:pPr>
              <w:pStyle w:val="Normal"/>
              <w:rPr>
                <w:rFonts w:ascii="Arial" w:hAnsi="Arial" w:cs="Arial"/>
                <w:b/>
                <w:color w:val="000000"/>
                <w:sz w:val="24"/>
                <w:lang w:eastAsia="en-US"/>
              </w:rPr>
            </w:pPr>
            <w:r>
              <w:rPr>
                <w:rFonts w:cs="Arial" w:ascii="Arial" w:hAnsi="Arial"/>
                <w:b/>
                <w:color w:val="000000"/>
                <w:sz w:val="24"/>
                <w:lang w:eastAsia="en-US"/>
              </w:rPr>
              <w:t>Melbourne</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98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2220" w:type="dxa"/>
            <w:gridSpan w:val="4"/>
            <w:tcBorders/>
          </w:tcPr>
          <w:p>
            <w:pPr>
              <w:pStyle w:val="Normal"/>
              <w:rPr>
                <w:rFonts w:ascii="Arial" w:hAnsi="Arial" w:cs="Arial"/>
                <w:b/>
                <w:color w:val="000000"/>
                <w:sz w:val="24"/>
                <w:lang w:eastAsia="en-US"/>
              </w:rPr>
            </w:pPr>
            <w:r>
              <w:rPr>
                <w:rFonts w:cs="Arial" w:ascii="Arial" w:hAnsi="Arial"/>
                <w:b/>
                <w:color w:val="000000"/>
                <w:sz w:val="24"/>
                <w:lang w:eastAsia="en-US"/>
              </w:rPr>
              <w:t>Oslo</w:t>
            </w:r>
          </w:p>
        </w:tc>
        <w:tc>
          <w:tcPr>
            <w:tcW w:w="1770" w:type="dxa"/>
            <w:gridSpan w:val="3"/>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8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158" w:type="dxa"/>
            <w:gridSpan w:val="7"/>
            <w:tcBorders/>
          </w:tcPr>
          <w:p>
            <w:pPr>
              <w:pStyle w:val="Normal"/>
              <w:rPr>
                <w:rFonts w:ascii="Arial" w:hAnsi="Arial" w:cs="Arial"/>
                <w:b/>
                <w:color w:val="000000"/>
                <w:sz w:val="24"/>
                <w:lang w:eastAsia="en-US"/>
              </w:rPr>
            </w:pPr>
            <w:r>
              <w:rPr>
                <w:rFonts w:cs="Arial" w:ascii="Arial" w:hAnsi="Arial"/>
                <w:b/>
                <w:color w:val="000000"/>
                <w:sz w:val="24"/>
                <w:lang w:eastAsia="en-US"/>
              </w:rPr>
              <w:t>Sydney</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98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80" w:hRule="atLeast"/>
        </w:trPr>
        <w:tc>
          <w:tcPr>
            <w:tcW w:w="1740" w:type="dxa"/>
            <w:tcBorders/>
          </w:tcPr>
          <w:p>
            <w:pPr>
              <w:pStyle w:val="Normal"/>
              <w:rPr>
                <w:rFonts w:ascii="Arial" w:hAnsi="Arial" w:cs="Arial"/>
                <w:b/>
                <w:color w:val="000000"/>
                <w:sz w:val="24"/>
                <w:lang w:eastAsia="en-US"/>
              </w:rPr>
            </w:pPr>
            <w:r>
              <w:rPr>
                <w:rFonts w:cs="Arial" w:ascii="Arial" w:hAnsi="Arial"/>
                <w:b/>
                <w:color w:val="000000"/>
                <w:sz w:val="24"/>
                <w:lang w:eastAsia="en-US"/>
              </w:rPr>
              <w:t>Paris</w:t>
            </w:r>
          </w:p>
        </w:tc>
        <w:tc>
          <w:tcPr>
            <w:tcW w:w="2250" w:type="dxa"/>
            <w:gridSpan w:val="6"/>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8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158" w:type="dxa"/>
            <w:gridSpan w:val="7"/>
            <w:tcBorders/>
          </w:tcPr>
          <w:p>
            <w:pPr>
              <w:pStyle w:val="Normal"/>
              <w:rPr>
                <w:rFonts w:ascii="Arial" w:hAnsi="Arial" w:cs="Arial"/>
                <w:b/>
                <w:color w:val="000000"/>
                <w:sz w:val="24"/>
                <w:lang w:eastAsia="en-US"/>
              </w:rPr>
            </w:pPr>
            <w:r>
              <w:rPr>
                <w:rFonts w:cs="Arial" w:ascii="Arial" w:hAnsi="Arial"/>
                <w:b/>
                <w:color w:val="000000"/>
                <w:sz w:val="24"/>
                <w:lang w:eastAsia="en-US"/>
              </w:rPr>
              <w:t>Osaka</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98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2" w:hRule="atLeast"/>
        </w:trPr>
        <w:tc>
          <w:tcPr>
            <w:tcW w:w="1905" w:type="dxa"/>
            <w:gridSpan w:val="3"/>
            <w:tcBorders/>
          </w:tcPr>
          <w:p>
            <w:pPr>
              <w:pStyle w:val="Normal"/>
              <w:rPr>
                <w:rFonts w:ascii="Arial" w:hAnsi="Arial" w:cs="Arial"/>
                <w:b/>
                <w:color w:val="000000"/>
                <w:sz w:val="24"/>
                <w:lang w:eastAsia="en-US"/>
              </w:rPr>
            </w:pPr>
            <w:r>
              <w:rPr>
                <w:rFonts w:cs="Arial" w:ascii="Arial" w:hAnsi="Arial"/>
                <w:b/>
                <w:color w:val="000000"/>
                <w:sz w:val="24"/>
                <w:lang w:eastAsia="en-US"/>
              </w:rPr>
              <w:t>Stockholm</w:t>
            </w:r>
          </w:p>
        </w:tc>
        <w:tc>
          <w:tcPr>
            <w:tcW w:w="2085" w:type="dxa"/>
            <w:gridSpan w:val="4"/>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8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158" w:type="dxa"/>
            <w:gridSpan w:val="7"/>
            <w:tcBorders/>
          </w:tcPr>
          <w:p>
            <w:pPr>
              <w:pStyle w:val="Normal"/>
              <w:rPr>
                <w:rFonts w:ascii="Arial" w:hAnsi="Arial" w:cs="Arial"/>
                <w:b/>
                <w:color w:val="000000"/>
                <w:sz w:val="24"/>
                <w:lang w:eastAsia="en-US"/>
              </w:rPr>
            </w:pPr>
            <w:r>
              <w:rPr>
                <w:rFonts w:cs="Arial" w:ascii="Arial" w:hAnsi="Arial"/>
                <w:b/>
                <w:color w:val="000000"/>
                <w:sz w:val="24"/>
                <w:lang w:eastAsia="en-US"/>
              </w:rPr>
              <w:t>Tokyo</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98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pStyle w:val="BodyText2"/>
        <w:rPr/>
      </w:pPr>
      <w:r>
        <w:rPr/>
        <w:tab/>
        <w:tab/>
        <w:tab/>
      </w:r>
      <w:r>
        <w:rPr>
          <w:rFonts w:cs="Arial" w:ascii="Arial" w:hAnsi="Arial"/>
          <w:b/>
          <w:color w:val="000000"/>
          <w:lang w:eastAsia="en-US"/>
        </w:rPr>
        <w:t>(List of current Eonron Online contracts)</w:t>
      </w:r>
    </w:p>
    <w:p>
      <w:pPr>
        <w:pStyle w:val="BodyText2"/>
        <w:rPr>
          <w:rFonts w:ascii="Arial" w:hAnsi="Arial" w:cs="Arial"/>
          <w:b/>
          <w:color w:val="000000"/>
          <w:lang w:eastAsia="en-US"/>
        </w:rPr>
      </w:pPr>
      <w:r>
        <w:rPr>
          <w:rFonts w:cs="Arial" w:ascii="Arial" w:hAnsi="Arial"/>
          <w:b/>
          <w:color w:val="000000"/>
          <w:lang w:eastAsia="en-US"/>
        </w:rPr>
      </w:r>
    </w:p>
    <w:p>
      <w:pPr>
        <w:pStyle w:val="BodyText2"/>
        <w:rPr>
          <w:rFonts w:ascii="Arial" w:hAnsi="Arial" w:cs="Arial"/>
          <w:b/>
          <w:color w:val="000000"/>
          <w:lang w:eastAsia="en-US"/>
        </w:rPr>
      </w:pPr>
      <w:r>
        <w:rPr>
          <w:rFonts w:cs="Arial" w:ascii="Arial" w:hAnsi="Arial"/>
          <w:b/>
          <w:color w:val="000000"/>
          <w:lang w:eastAsia="en-US"/>
        </w:rPr>
      </w:r>
    </w:p>
    <w:p>
      <w:pPr>
        <w:pStyle w:val="BodyText2"/>
        <w:ind w:firstLine="720" w:end="0"/>
        <w:rPr/>
      </w:pPr>
      <w:r>
        <w:rPr/>
        <w:t xml:space="preserve">In just a few months, web-site volume reached hundreds of deals per month, a surprising number given the meager volumes that had been trading on the Chicago Mercantile Exchange’s weather futures market. Indeed weather trading at the CME had been at a standstill well before Enron Online was introduced. While observers have cited several reasons for this, many would agree that the CME market suffered because it was not sufficiently in line with existing OTC market conventions. For example, the National Weather Service typically reports temperatures within several days, but continues to make corrections thereafter (a process that on rare occasions can take up to three months). For this reason, most existing weather contracts provide not only for an initial settlement five days after the termination of the degree day accumulation period, but also a true-up, if necessary, up to  three months later. The CME instead relied on a private meteorological data agency to reconstruct any missing data on a daily basis, a move that existing market participants viewed with disapproval. </w:t>
      </w:r>
    </w:p>
    <w:p>
      <w:pPr>
        <w:pStyle w:val="BodyText2"/>
        <w:ind w:firstLine="720" w:end="0"/>
        <w:rPr/>
      </w:pPr>
      <w:r>
        <w:rPr/>
      </w:r>
    </w:p>
    <w:p>
      <w:pPr>
        <w:pStyle w:val="BodyText2"/>
        <w:ind w:firstLine="720" w:end="0"/>
        <w:rPr/>
      </w:pPr>
      <w:r>
        <w:rPr/>
        <w:t>It should be noted that unlike the CME, Enron takes both sides of a transaction in Enron Online trading. Some market participants have stated that an exchange would be preferable to the potential confusion that might result from several distinct web-sites transacting similar products. An exchange does provide an added degree of anonymity that some traders could use to their advantage, and at some point, it is likely that an active weather exchange will also become a reality. In the interim, internet traffic is able to provide many of the same benefits, and the major participants in the weather derivatives have become the primary source of volume on Enron Online as well.</w:t>
      </w:r>
    </w:p>
    <w:p>
      <w:pPr>
        <w:pStyle w:val="BodyText2"/>
        <w:ind w:firstLine="720" w:end="0"/>
        <w:rPr/>
      </w:pPr>
      <w:r>
        <w:rPr/>
      </w:r>
    </w:p>
    <w:p>
      <w:pPr>
        <w:pStyle w:val="BodyText2"/>
        <w:ind w:firstLine="720" w:end="0"/>
        <w:rPr/>
      </w:pPr>
      <w:r>
        <w:rPr/>
        <w:t>On Enron Online, the initial set-up for would-be participants is trivial for Enron’s existing counter-parties, though new customers do have to pass through Enron’s credit matrix. Some end-users, and even private individuals wishing to speculate in weather, have been allowed viewer access to the Enron Online screen, but must still call a broker to finalize the transaction. In either case, they are guaranteed to obtain the deal for at least as favorable a price as what is currently shown on Enron Online.</w:t>
      </w:r>
    </w:p>
    <w:p>
      <w:pPr>
        <w:pStyle w:val="BodyText2"/>
        <w:ind w:firstLine="720" w:end="0"/>
        <w:rPr/>
      </w:pPr>
      <w:r>
        <w:rPr/>
      </w:r>
    </w:p>
    <w:p>
      <w:pPr>
        <w:pStyle w:val="Normal"/>
        <w:ind w:firstLine="720" w:end="0"/>
        <w:rPr>
          <w:sz w:val="24"/>
        </w:rPr>
      </w:pPr>
      <w:r>
        <w:rPr>
          <w:sz w:val="24"/>
        </w:rPr>
        <w:t>Enron Online currently offers swaps in base units of US$100/degree day (the “tick size”) with a payout limit of $20,000 per contract. We have considered increasing the tick size, but prefer at this time to maintain the current size in order to accommodate end users who wish to test the weather market with only a small portion of their exposure. The actual trading procedure is very simple, and consists simply of scrolling down the list of available contracts and clicking. Companies can of course purchase additional contracts, though the maximum size that can be purchased at a quoted price is limited, typically, to five contracts.  If all the contracts available at the initial price are exhausted, Enron immediately makes more contracts available, though at a slightly less advantageous price, to reflect the increased risk that it is assuming.</w:t>
      </w:r>
    </w:p>
    <w:p>
      <w:pPr>
        <w:pStyle w:val="Normal"/>
        <w:ind w:firstLine="720" w:end="0"/>
        <w:rPr>
          <w:sz w:val="24"/>
        </w:rPr>
      </w:pPr>
      <w:r>
        <w:rPr>
          <w:sz w:val="24"/>
        </w:rPr>
      </w:r>
    </w:p>
    <w:p>
      <w:pPr>
        <w:pStyle w:val="Heading4"/>
        <w:ind w:hanging="0" w:start="0"/>
        <w:rPr/>
      </w:pPr>
      <w:r>
        <w:rPr/>
        <w:t>Liquidity and transparency</w:t>
      </w:r>
    </w:p>
    <w:p>
      <w:pPr>
        <w:pStyle w:val="Normal"/>
        <w:rPr/>
      </w:pPr>
      <w:r>
        <w:rPr/>
      </w:r>
    </w:p>
    <w:p>
      <w:pPr>
        <w:pStyle w:val="PlainText"/>
        <w:ind w:firstLine="720" w:end="0"/>
        <w:jc w:val="both"/>
        <w:rPr>
          <w:rFonts w:ascii="Times New Roman" w:hAnsi="Times New Roman" w:cs="Times New Roman"/>
          <w:sz w:val="24"/>
        </w:rPr>
      </w:pPr>
      <w:r>
        <w:rPr>
          <w:rFonts w:cs="Times New Roman" w:ascii="Times New Roman" w:hAnsi="Times New Roman"/>
          <w:sz w:val="24"/>
        </w:rPr>
        <w:t xml:space="preserve">Given the fact that the first weather derivative was transacted just over three years ago (a weather-linked power swap between Enron and a Florida utility), the industry’s growth has been remarkable. Some observers, however, have argued that its  development in the United States has been purely fortuitous, a result of the unusually mild winters and warm summers throughout much of the country over the last three winters. This weather has negatively impacted profits for a wide variety of industries, ranging from the obvious (gas utilities and winter apparel manufacturers have seen reduced demand for their products) to the unexpected (warm winters have negatively impacted tourism to the tropics by Northerners seeking relief from cold weather). The surge in weather related press (as well as the related focus on the El Niño and La Niña phenomena) has increased public awareness of the weather market and made the need for active weather risk management evident. </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PlainText"/>
        <w:ind w:firstLine="720" w:end="0"/>
        <w:jc w:val="both"/>
        <w:rPr>
          <w:rFonts w:ascii="Times New Roman" w:hAnsi="Times New Roman" w:cs="Times New Roman"/>
          <w:sz w:val="24"/>
        </w:rPr>
      </w:pPr>
      <w:r>
        <w:rPr>
          <w:rFonts w:cs="Times New Roman" w:ascii="Times New Roman" w:hAnsi="Times New Roman"/>
          <w:sz w:val="24"/>
        </w:rPr>
        <w:t>While the long-term warmth has thus showcased the weather market,  it has at least in one respect been a mixed blessing. The ultimate holders of weather derivative-related risk are reinsurance companies who were initially attracted to weather derivatives due to the relatively short associated recurrence times (in comparison with hurricane, earthquake and other catastropic risk, for example). Given that many of the early purchasers of weather derivatives were utilities interested in protection against warm weather, the reinsurers who took on this risk have incurred significant losses, and several have curtailed or discontinued their weather derivative transactions, to the extent that some observers predicted the market’s demise.</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sz w:val="24"/>
        </w:rPr>
      </w:pPr>
      <w:r>
        <w:rPr>
          <w:sz w:val="24"/>
        </w:rPr>
        <w:t>Still, weather derivatives are far from market maturity, and all the current participants would like to see even more liquidity and more end-users. In this reagard, internet activity has helped. For example, the tightened spreads that have resulted from internet activity have also renewed interest on the part of those who had previously rejected weather protection. A case in point is a utility to which Enron had tried unsuccessfully to sell a weather derivative for three years. With each passing warm winter, the company’s increased, but it was only this year that the end-user decided to purchase a heating degree day put. It cited Enron Online as a key reason for its willingness to transact. The management of the utility noted that the offers from other weather derivative marketers were similar, and the fact that there was now a forum for managing and hedging the derivative convinced them that weather was now a “real market”.</w:t>
      </w:r>
    </w:p>
    <w:p>
      <w:pPr>
        <w:pStyle w:val="Normal"/>
        <w:ind w:firstLine="720" w:end="0"/>
        <w:jc w:val="both"/>
        <w:rPr>
          <w:sz w:val="24"/>
        </w:rPr>
      </w:pPr>
      <w:r>
        <w:rPr>
          <w:sz w:val="24"/>
        </w:rPr>
      </w:r>
    </w:p>
    <w:p>
      <w:pPr>
        <w:pStyle w:val="BodyTextIndent"/>
        <w:rPr/>
      </w:pPr>
      <w:r>
        <w:rPr/>
        <w:t xml:space="preserve">Enron Online provides evidence of the weather market’s consolidation in several other respects. For most cities, the monthly bid/offer heating (cooling) degree day numbers for distant contracts are usually significantly lower (higher) than raw historical averages. This reflects the belief that worldwide weather patterns have been characterized by pronounced warming trends over the last few decades. Enron Online also provides evidence that long range multi-month forecasts seem to have little impact on market prices, unless there is a strong overall consensus among differing government and private forecasters. However, the presence of strong driving mechanisms such as El Niño conditions will likely extend the range in which forecasts affect prices. Since the inception of the weather market, potential end-users have questioned the extent to which a view on weather patterns is sincere, or rather simply a way to justify higher premiums for the specific weather protection being offered. Anyone with access to EOL can see what the market believes for him or herself. Moreover, to the extent that they disagree with these numbers, and are correct, they can make a substantial profit. </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Heading7"/>
        <w:ind w:hanging="0" w:start="0"/>
        <w:rPr>
          <w:b/>
        </w:rPr>
      </w:pPr>
      <w:r>
        <w:rPr>
          <w:b/>
        </w:rPr>
        <w:t>Daily transactions</w:t>
      </w:r>
    </w:p>
    <w:p>
      <w:pPr>
        <w:pStyle w:val="BodyText2"/>
        <w:ind w:firstLine="720" w:end="0"/>
        <w:rPr>
          <w:b/>
        </w:rPr>
      </w:pPr>
      <w:r>
        <w:rPr>
          <w:b/>
        </w:rPr>
      </w:r>
    </w:p>
    <w:p>
      <w:pPr>
        <w:pStyle w:val="Normal"/>
        <w:rPr/>
      </w:pPr>
      <w:r>
        <w:rPr>
          <w:sz w:val="24"/>
        </w:rPr>
        <w:t>The challenges in establishing and maintaining a weather exchange are considerable.</w:t>
      </w:r>
      <w:r>
        <w:rPr/>
        <w:t xml:space="preserve"> </w:t>
      </w:r>
      <w:r>
        <w:rPr>
          <w:sz w:val="24"/>
        </w:rPr>
        <w:t xml:space="preserve">For example, the bid-ask spreads on Enron Online are a small fraction of the spreads seen in the OTC markets. Given that degree day swaps for a given month trade until the last day of the month, Enron Online requires a level of attention to daily forecasts not previously seen. </w:t>
      </w:r>
    </w:p>
    <w:p>
      <w:pPr>
        <w:pStyle w:val="Normal"/>
        <w:rPr>
          <w:sz w:val="24"/>
        </w:rPr>
      </w:pPr>
      <w:r>
        <w:rPr>
          <w:sz w:val="24"/>
        </w:rPr>
      </w:r>
    </w:p>
    <w:p>
      <w:pPr>
        <w:pStyle w:val="Normal"/>
        <w:ind w:firstLine="720" w:end="0"/>
        <w:rPr>
          <w:sz w:val="24"/>
        </w:rPr>
      </w:pPr>
      <w:r>
        <w:rPr>
          <w:sz w:val="24"/>
        </w:rPr>
        <w:t>A revised weather forecast, can within minutes, if not seconds, result in significant gains or losses in Enron Online positions. Therefore, prices can easily move up or down by more degree days than are in the bid-offer spread. Since counterparties have the freedom to choose when to enter into or close out of a position, they stand to gain significantly to the extent that any of them can correctly forecast the weather – even if only for a certain period.</w:t>
      </w:r>
    </w:p>
    <w:p>
      <w:pPr>
        <w:pStyle w:val="Normal"/>
        <w:rPr>
          <w:sz w:val="24"/>
        </w:rPr>
      </w:pPr>
      <w:r>
        <w:rPr>
          <w:sz w:val="24"/>
        </w:rPr>
      </w:r>
    </w:p>
    <w:p>
      <w:pPr>
        <w:pStyle w:val="Normal"/>
        <w:rPr>
          <w:sz w:val="24"/>
        </w:rPr>
      </w:pPr>
      <w:r>
        <w:rPr>
          <w:sz w:val="24"/>
        </w:rPr>
        <w:tab/>
        <w:t xml:space="preserve">This importance of medium-range forecasts (which in metorological terms is on the order of several days) in prompt-month trading activity means that those entities that provide or contract for proprietary forecasts have an opportunity to profit directly from their superior knowledge.  Increased trading on Enron Online should reflect a greater number of proprietary forecasts and the current market consensus. This should help dispel one of the hardest obstacles to growing the OTC market, namely, the notion that the major weather market players have somehow acquired better forecasts unavailable to end-users. </w:t>
      </w:r>
    </w:p>
    <w:p>
      <w:pPr>
        <w:pStyle w:val="Normal"/>
        <w:rPr>
          <w:sz w:val="24"/>
        </w:rPr>
      </w:pPr>
      <w:r>
        <w:rPr>
          <w:sz w:val="24"/>
        </w:rPr>
      </w:r>
    </w:p>
    <w:p>
      <w:pPr>
        <w:pStyle w:val="Normal"/>
        <w:rPr/>
      </w:pPr>
      <w:r>
        <w:rPr>
          <w:sz w:val="24"/>
        </w:rPr>
        <w:tab/>
        <w:t xml:space="preserve">While a short-term variation in daily weather may be negligible in determining the outcome of a deal based on degree days accumulated across an entire season, a small but growing sector of the weather derivative market is much more closely tied to the intricacies of daily weather fluctuations. These are the deals based on the number of so-called </w:t>
      </w:r>
      <w:r>
        <w:rPr>
          <w:i/>
          <w:sz w:val="24"/>
        </w:rPr>
        <w:t>even -days</w:t>
      </w:r>
      <w:r>
        <w:rPr>
          <w:sz w:val="24"/>
        </w:rPr>
        <w:t xml:space="preserve"> in a given month or season, i.e. the days for which the temperature, precipitation or wind exceeds some extreme strike. For example, power utilities are interested in derivatives that pay out if the maximum temperature at a given location is greater than, say 95 degrees Fahrenheit for three consecutive weekdays, given that such weather is likely to produce spikes in power prices. Likewise, a fruit grower is exposed to losses if the hourly temperature at a location near his orchards dips below freezing for more than three hours a night. Enron has been involved with several such deals, which tend to be more customer-specific, and less</w:t>
      </w:r>
    </w:p>
    <w:p>
      <w:pPr>
        <w:pStyle w:val="Normal"/>
        <w:rPr>
          <w:sz w:val="24"/>
        </w:rPr>
      </w:pPr>
      <w:r>
        <w:rPr>
          <w:sz w:val="24"/>
        </w:rPr>
      </w:r>
    </w:p>
    <w:p>
      <w:pPr>
        <w:pStyle w:val="Normal"/>
        <w:rPr>
          <w:sz w:val="24"/>
        </w:rPr>
      </w:pPr>
      <w:r>
        <w:rPr>
          <w:sz w:val="24"/>
        </w:rPr>
      </w:r>
    </w:p>
    <w:p>
      <w:pPr>
        <w:pStyle w:val="Normal"/>
        <w:ind w:firstLine="720" w:end="0"/>
        <w:rPr>
          <w:sz w:val="24"/>
        </w:rPr>
      </w:pPr>
      <w:r>
        <w:rPr>
          <w:sz w:val="24"/>
        </w:rPr>
        <w:t>Not all market participants in weather derivatives will be concerned with daily or even weekly forecasts, just as some participants in weather derivatives will choose to forego transacting in precipitation or wind protection. For those willing to take on and hold seasonal risk, a seasonal assessment of weather trends may be adequate. However, internet trading has made it much more likely that every weather derivative shop – certainly those who mark their books to market or decide to manage their portfolio with monthly deals -- will need to be increasingly familiar with daily price fluctuations and how they affect the market.</w:t>
      </w:r>
    </w:p>
    <w:p>
      <w:pPr>
        <w:pStyle w:val="Normal"/>
        <w:ind w:firstLine="720" w:end="0"/>
        <w:rPr>
          <w:sz w:val="24"/>
        </w:rPr>
      </w:pPr>
      <w:r>
        <w:rPr>
          <w:sz w:val="24"/>
        </w:rPr>
      </w:r>
    </w:p>
    <w:p>
      <w:pPr>
        <w:pStyle w:val="BodyTextIndent"/>
        <w:rPr/>
      </w:pPr>
      <w:r>
        <w:rPr/>
        <w:t>In prior years some companies justified their refusal to manage weather risk by arguing that the weather market was too new and unestablished. Just as previously hesitant end-users have become more open to weather derivatives, arguments (i.e. excuses) against buying them become more and more groundless with each passing year of increasing weather activity. Most encouragingly for those interested in seeing that weather derivatives prosper, there are signs that stock analysts are beginning to discount weather-sensitive companies that forego purchasing weather protection. While an active internet weather market is still only a few months old, such trading will likely prove crucial to the market’s overall development</w:t>
      </w:r>
    </w:p>
    <w:p>
      <w:pPr>
        <w:pStyle w:val="BodyTextIndent"/>
        <w:rPr/>
      </w:pPr>
      <w:r>
        <w:rPr/>
      </w:r>
    </w:p>
    <w:p>
      <w:pPr>
        <w:pStyle w:val="Normal"/>
        <w:ind w:firstLine="720" w:end="0"/>
        <w:rPr>
          <w:sz w:val="24"/>
        </w:rPr>
      </w:pPr>
      <w:r>
        <w:rPr>
          <w:sz w:val="24"/>
        </w:rPr>
      </w:r>
    </w:p>
    <w:p>
      <w:pPr>
        <w:pStyle w:val="Normal"/>
        <w:rPr>
          <w:sz w:val="24"/>
        </w:rPr>
      </w:pPr>
      <w:r>
        <w:rPr>
          <w:sz w:val="24"/>
        </w:rPr>
      </w:r>
    </w:p>
    <w:p>
      <w:pPr>
        <w:pStyle w:val="Heading4"/>
        <w:ind w:hanging="0" w:start="0"/>
        <w:rPr/>
      </w:pPr>
      <w:r>
        <w:rPr/>
        <w:t>Sidebar: Managing portfolios with Enron Online</w:t>
        <w:tab/>
      </w:r>
    </w:p>
    <w:p>
      <w:pPr>
        <w:pStyle w:val="Normal"/>
        <w:rPr>
          <w:sz w:val="24"/>
        </w:rPr>
      </w:pPr>
      <w:r>
        <w:rPr>
          <w:sz w:val="24"/>
        </w:rPr>
      </w:r>
    </w:p>
    <w:p>
      <w:pPr>
        <w:pStyle w:val="Normal"/>
        <w:ind w:firstLine="720" w:end="0"/>
        <w:rPr/>
      </w:pPr>
      <w:r>
        <w:rPr>
          <w:sz w:val="24"/>
        </w:rPr>
        <w:t xml:space="preserve">In a previous paper (“Enron Online”, by Gary Taylor, Paul Henry, and Joseph Hrgovcic, </w:t>
      </w:r>
      <w:r>
        <w:rPr>
          <w:i/>
          <w:sz w:val="24"/>
        </w:rPr>
        <w:t>Energy and Power Risk Magazine</w:t>
      </w:r>
      <w:r>
        <w:rPr>
          <w:sz w:val="24"/>
        </w:rPr>
        <w:t xml:space="preserve">, August 2000) we have discussed how to hedge and value a portfolio of degree day options using  the swap contracts on Enron Online. Here we note that because the available contracts there are for cities are distributed throughout the country, they can be used to hedge deals at most locations, even those which are not traded on Enron Online directly. </w:t>
      </w:r>
    </w:p>
    <w:p>
      <w:pPr>
        <w:pStyle w:val="Normal"/>
        <w:ind w:firstLine="720" w:end="0"/>
        <w:rPr>
          <w:sz w:val="24"/>
        </w:rPr>
      </w:pPr>
      <w:r>
        <w:rPr>
          <w:sz w:val="24"/>
        </w:rPr>
      </w:r>
    </w:p>
    <w:p>
      <w:pPr>
        <w:pStyle w:val="Normal"/>
        <w:rPr/>
      </w:pPr>
      <w:r>
        <w:rPr>
          <w:sz w:val="24"/>
        </w:rPr>
        <w:t xml:space="preserve">Assume that there is a non-neglible correlation </w:t>
      </w:r>
      <w:r>
        <w:rPr>
          <w:b/>
          <w:sz w:val="24"/>
        </w:rPr>
        <w:t>ρ</w:t>
      </w:r>
      <w:r>
        <w:rPr>
          <w:sz w:val="24"/>
        </w:rPr>
        <w:t xml:space="preserve"> between the degree days at some location and month/season traded on Enron Online and the number of degree days at some nearby location X (the degree day accumulation interval need not be the same as that of the Enron Online contract). Such non-negligible correlations can be found at locations hundreds of miles apart, as historical analysis can easily demonstrate. Assuming that the standard deviation of the Enron Online contract’s degree days and the those corresponding to location X are </w:t>
      </w:r>
      <w:r>
        <w:rPr>
          <w:b/>
          <w:sz w:val="24"/>
        </w:rPr>
        <w:t>σ</w:t>
      </w:r>
      <w:r>
        <w:rPr>
          <w:vertAlign w:val="subscript"/>
        </w:rPr>
        <w:t>EOL</w:t>
      </w:r>
      <w:r>
        <w:rPr>
          <w:b/>
        </w:rPr>
        <w:t xml:space="preserve"> </w:t>
      </w:r>
      <w:r>
        <w:rPr>
          <w:sz w:val="24"/>
        </w:rPr>
        <w:t xml:space="preserve"> and </w:t>
      </w:r>
      <w:r>
        <w:rPr>
          <w:b/>
          <w:sz w:val="24"/>
        </w:rPr>
        <w:t>σ</w:t>
      </w:r>
      <w:r>
        <w:rPr>
          <w:vertAlign w:val="subscript"/>
        </w:rPr>
        <w:t>x</w:t>
      </w:r>
      <w:r>
        <w:rPr>
          <w:b/>
          <w:sz w:val="24"/>
        </w:rPr>
        <w:t xml:space="preserve"> </w:t>
      </w:r>
      <w:r>
        <w:rPr>
          <w:sz w:val="24"/>
        </w:rPr>
        <w:t xml:space="preserve">respectively. In fact standard hedging calculations show that if the price of the EOL contract moves by some amount </w:t>
      </w:r>
      <w:r>
        <w:rPr>
          <w:b/>
          <w:sz w:val="24"/>
        </w:rPr>
        <w:t>Δ</w:t>
      </w:r>
      <w:r>
        <w:rPr>
          <w:sz w:val="24"/>
        </w:rPr>
        <w:t xml:space="preserve">, then the expected number of degree days of the corresponding contract , moves by an amount equal to </w:t>
      </w:r>
      <w:r>
        <w:rPr>
          <w:b/>
          <w:sz w:val="24"/>
        </w:rPr>
        <w:t>Δ  * ρ</w:t>
      </w:r>
      <w:r>
        <w:rPr>
          <w:sz w:val="24"/>
        </w:rPr>
        <w:t xml:space="preserve"> * </w:t>
      </w:r>
      <w:r>
        <w:rPr>
          <w:b/>
          <w:sz w:val="24"/>
        </w:rPr>
        <w:t>σ</w:t>
      </w:r>
      <w:r>
        <w:rPr>
          <w:vertAlign w:val="subscript"/>
        </w:rPr>
        <w:t xml:space="preserve">x  </w:t>
      </w:r>
      <w:r>
        <w:rPr>
          <w:sz w:val="24"/>
        </w:rPr>
        <w:t xml:space="preserve">/ </w:t>
      </w:r>
      <w:r>
        <w:rPr>
          <w:b/>
          <w:sz w:val="24"/>
        </w:rPr>
        <w:t>σ</w:t>
      </w:r>
      <w:r>
        <w:rPr>
          <w:vertAlign w:val="subscript"/>
        </w:rPr>
        <w:t xml:space="preserve">EOL. </w:t>
      </w:r>
      <w:r>
        <w:rPr>
          <w:sz w:val="24"/>
        </w:rPr>
        <w:t>The argument may easily be extended to locations which have a non-negligible correlation to more than one EOL location.</w:t>
      </w:r>
    </w:p>
    <w:p>
      <w:pPr>
        <w:pStyle w:val="Normal"/>
        <w:ind w:firstLine="720" w:end="0"/>
        <w:rPr>
          <w:sz w:val="24"/>
        </w:rPr>
      </w:pPr>
      <w:r>
        <w:rPr>
          <w:sz w:val="24"/>
        </w:rPr>
      </w:r>
    </w:p>
    <w:p>
      <w:pPr>
        <w:pStyle w:val="BodyText3"/>
        <w:rPr>
          <w:b/>
          <w:sz w:val="24"/>
        </w:rPr>
      </w:pPr>
      <w:r>
        <w:rPr>
          <w:b/>
          <w:sz w:val="24"/>
        </w:rPr>
        <w:t>H Joseph Hrgovcic is responsible for Enron Weather Risk Management research,</w:t>
      </w:r>
    </w:p>
    <w:p>
      <w:pPr>
        <w:pStyle w:val="BodyText3"/>
        <w:rPr>
          <w:b/>
          <w:sz w:val="24"/>
        </w:rPr>
      </w:pPr>
      <w:r>
        <w:rPr>
          <w:b/>
          <w:sz w:val="24"/>
        </w:rPr>
        <w:t>Seth Hurwitz and Gary Taylor, for Enron Weather Risk Management Marketing.</w:t>
      </w:r>
    </w:p>
    <w:p>
      <w:pPr>
        <w:pStyle w:val="BodyText3"/>
        <w:rPr>
          <w:b/>
          <w:sz w:val="24"/>
        </w:rPr>
      </w:pPr>
      <w:r>
        <w:rPr>
          <w:b/>
          <w:sz w:val="24"/>
        </w:rPr>
        <w:t>Enron is a market leader in energy, energy related products and more recently bandwith.</w:t>
      </w:r>
    </w:p>
    <w:p>
      <w:pPr>
        <w:pStyle w:val="Normal"/>
        <w:jc w:val="both"/>
        <w:rPr>
          <w:b/>
          <w:sz w:val="24"/>
        </w:rPr>
      </w:pPr>
      <w:r>
        <w:rPr>
          <w:b/>
          <w:sz w:val="24"/>
        </w:rPr>
      </w:r>
    </w:p>
    <w:p>
      <w:pPr>
        <w:pStyle w:val="BodyText3"/>
        <w:rPr>
          <w:sz w:val="24"/>
        </w:rPr>
      </w:pPr>
      <w:r>
        <w:rPr/>
        <w:tab/>
      </w:r>
    </w:p>
    <w:p>
      <w:pPr>
        <w:pStyle w:val="Normal"/>
        <w:rPr>
          <w:sz w:val="24"/>
        </w:rPr>
      </w:pPr>
      <w:r>
        <w:rPr>
          <w:sz w:val="24"/>
        </w:rPr>
      </w:r>
    </w:p>
    <w:p>
      <w:pPr>
        <w:pStyle w:val="Normal"/>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720"/>
        </w:tabs>
        <w:ind w:start="720" w:hanging="720"/>
      </w:pPr>
      <w:rPr/>
    </w:lvl>
  </w:abstractNum>
  <w:abstractNum w:abstractNumId="3">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jc w:val="end"/>
      <w:outlineLvl w:val="2"/>
    </w:pPr>
    <w:rPr>
      <w:b/>
      <w:i/>
      <w:color w:val="FFFFFF"/>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b/>
      <w:u w:val="single"/>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ind w:firstLine="720" w:start="720" w:end="0"/>
      <w:outlineLvl w:val="7"/>
    </w:pPr>
    <w:rPr>
      <w:sz w:val="24"/>
    </w:rPr>
  </w:style>
  <w:style w:type="paragraph" w:styleId="Heading9">
    <w:name w:val="heading 9"/>
    <w:basedOn w:val="Normal"/>
    <w:next w:val="Normal"/>
    <w:qFormat/>
    <w:pPr>
      <w:keepNext w:val="true"/>
      <w:numPr>
        <w:ilvl w:val="8"/>
        <w:numId w:val="1"/>
      </w:numPr>
      <w:tabs>
        <w:tab w:val="clear" w:pos="720"/>
        <w:tab w:val="left" w:pos="4680" w:leader="none"/>
      </w:tabs>
      <w:outlineLvl w:val="8"/>
    </w:pPr>
    <w:rPr>
      <w:rFonts w:ascii="Arial" w:hAnsi="Arial" w:cs="Arial"/>
      <w:b/>
      <w:color w:val="000000"/>
      <w:sz w:val="36"/>
      <w:lang w:eastAsia="en-US"/>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4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sz w:val="24"/>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both"/>
    </w:pPr>
    <w:rPr/>
  </w:style>
  <w:style w:type="paragraph" w:styleId="BodyTextIndent">
    <w:name w:val="Body Text Indent"/>
    <w:basedOn w:val="Normal"/>
    <w:pPr>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2000-10-04T16:52:00Z</dcterms:created>
  <dc:creator>ECT</dc:creator>
  <dc:description/>
  <dc:language>en-CA</dc:language>
  <cp:lastModifiedBy>ECT</cp:lastModifiedBy>
  <cp:lastPrinted>2000-10-12T08:02:00Z</cp:lastPrinted>
  <dcterms:modified xsi:type="dcterms:W3CDTF">2000-10-12T19:27:00Z</dcterms:modified>
  <cp:revision>19</cp:revision>
  <dc:subject/>
  <dc:title>Given that the first weather derivative was transacted just over three years ago, the weather derivatives market has grown significantly in the last three years</dc:title>
</cp:coreProperties>
</file>