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r>
      <w:r>
        <w:rPr>
          <w:b/>
          <w:bCs/>
          <w:u w:val="single"/>
        </w:rPr>
        <w:t>FOLLOW UP CREDIT ITEMS</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numPr>
          <w:ilvl w:val="0"/>
          <w:numId w:val="1"/>
        </w:numPr>
        <w:jc w:val="both"/>
        <w:rPr/>
      </w:pPr>
      <w:r>
        <w:rPr/>
        <w:t>Use of Specified Entity and Specified Transaction in ISDA Schedule – credit to propose policy</w:t>
      </w:r>
    </w:p>
    <w:p>
      <w:pPr>
        <w:pStyle w:val="Normal"/>
        <w:jc w:val="both"/>
        <w:rPr/>
      </w:pPr>
      <w:r>
        <w:rPr/>
      </w:r>
    </w:p>
    <w:p>
      <w:pPr>
        <w:pStyle w:val="Normal"/>
        <w:numPr>
          <w:ilvl w:val="0"/>
          <w:numId w:val="1"/>
        </w:numPr>
        <w:jc w:val="both"/>
        <w:rPr/>
      </w:pPr>
      <w:r>
        <w:rPr/>
        <w:t>Preservation of Rights Letters – Should we be sending these out when (a) we have the right to call for collateral and don’t or (b) we have the right to declare an Event of Default and don’t?</w:t>
      </w:r>
    </w:p>
    <w:p>
      <w:pPr>
        <w:pStyle w:val="Normal"/>
        <w:jc w:val="both"/>
        <w:rPr/>
      </w:pPr>
      <w:r>
        <w:rPr/>
      </w:r>
    </w:p>
    <w:p>
      <w:pPr>
        <w:pStyle w:val="Normal"/>
        <w:numPr>
          <w:ilvl w:val="0"/>
          <w:numId w:val="1"/>
        </w:numPr>
        <w:jc w:val="both"/>
        <w:rPr/>
      </w:pPr>
      <w:r>
        <w:rPr/>
        <w:t>Should legal be reviewing incoming Letters of Credit?</w:t>
      </w:r>
    </w:p>
    <w:p>
      <w:pPr>
        <w:pStyle w:val="Normal"/>
        <w:jc w:val="both"/>
        <w:rPr/>
      </w:pPr>
      <w:r>
        <w:rPr/>
      </w:r>
    </w:p>
    <w:p>
      <w:pPr>
        <w:pStyle w:val="Normal"/>
        <w:numPr>
          <w:ilvl w:val="0"/>
          <w:numId w:val="1"/>
        </w:numPr>
        <w:jc w:val="both"/>
        <w:rPr/>
      </w:pPr>
      <w:r>
        <w:rPr/>
        <w:t>Establishing procedures for receiving prompt notification of mergers, asset sales, corporate reorganizations etc.  Who in credit and legal should be the point persons?</w:t>
      </w:r>
    </w:p>
    <w:p>
      <w:pPr>
        <w:pStyle w:val="Normal"/>
        <w:jc w:val="both"/>
        <w:rPr/>
      </w:pPr>
      <w:r>
        <w:rPr/>
      </w:r>
    </w:p>
    <w:p>
      <w:pPr>
        <w:pStyle w:val="Normal"/>
        <w:numPr>
          <w:ilvl w:val="0"/>
          <w:numId w:val="1"/>
        </w:numPr>
        <w:jc w:val="both"/>
        <w:rPr/>
      </w:pPr>
      <w:r>
        <w:rPr/>
        <w:t>Modifications to credit worksheet – will credit or legal do this?</w:t>
      </w:r>
    </w:p>
    <w:p>
      <w:pPr>
        <w:pStyle w:val="Normal"/>
        <w:jc w:val="both"/>
        <w:rPr/>
      </w:pPr>
      <w:r>
        <w:rPr/>
      </w:r>
    </w:p>
    <w:p>
      <w:pPr>
        <w:pStyle w:val="Normal"/>
        <w:numPr>
          <w:ilvl w:val="0"/>
          <w:numId w:val="1"/>
        </w:numPr>
        <w:jc w:val="both"/>
        <w:rPr/>
      </w:pPr>
      <w:r>
        <w:rPr/>
        <w:t xml:space="preserve">Use of cash collateral with Canadian counterparties – any exceptions to our general rule of not accepting cash collateral in Canada need to be dealt with on a case-by-case basis so that we have the proper language in the credit support annex.  </w:t>
      </w:r>
    </w:p>
    <w:p>
      <w:pPr>
        <w:pStyle w:val="Normal"/>
        <w:jc w:val="both"/>
        <w:rPr/>
      </w:pPr>
      <w:r>
        <w:rPr/>
      </w:r>
    </w:p>
    <w:p>
      <w:pPr>
        <w:pStyle w:val="Normal"/>
        <w:numPr>
          <w:ilvl w:val="0"/>
          <w:numId w:val="1"/>
        </w:numPr>
        <w:jc w:val="both"/>
        <w:rPr/>
      </w:pPr>
      <w:r>
        <w:rPr/>
        <w:t>Future seminars – what topics would credit like to cover?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2000-05-10T11:10:00Z</dcterms:created>
  <dc:creator>cstclai</dc:creator>
  <dc:description/>
  <dc:language>en-CA</dc:language>
  <cp:lastModifiedBy>cstclai</cp:lastModifiedBy>
  <cp:lastPrinted>2000-05-11T12:26:00Z</cp:lastPrinted>
  <dcterms:modified xsi:type="dcterms:W3CDTF">2000-05-11T14:57:00Z</dcterms:modified>
  <cp:revision>2</cp:revision>
  <dc:subject/>
  <dc:title/>
</cp:coreProperties>
</file>