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lang w:val="en-CA" w:eastAsia="en-CA"/>
        </w:rPr>
      </w:pPr>
      <w:r>
        <w:rPr>
          <w:sz w:val="20"/>
          <w:lang w:val="en-CA" w:eastAsia="en-CA"/>
        </w:rPr>
        <w:drawing>
          <wp:anchor behindDoc="0" distT="0" distB="0" distL="114935" distR="114935" simplePos="0" locked="0" layoutInCell="1" allowOverlap="1" relativeHeight="2">
            <wp:simplePos x="0" y="0"/>
            <wp:positionH relativeFrom="column">
              <wp:posOffset>-342900</wp:posOffset>
            </wp:positionH>
            <wp:positionV relativeFrom="paragraph">
              <wp:posOffset>-114300</wp:posOffset>
            </wp:positionV>
            <wp:extent cx="1600200" cy="6826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54" r="-24" b="-54"/>
                    <a:stretch>
                      <a:fillRect/>
                    </a:stretch>
                  </pic:blipFill>
                  <pic:spPr bwMode="auto">
                    <a:xfrm>
                      <a:off x="0" y="0"/>
                      <a:ext cx="1600200" cy="682625"/>
                    </a:xfrm>
                    <a:prstGeom prst="rect">
                      <a:avLst/>
                    </a:prstGeom>
                    <a:noFill/>
                  </pic:spPr>
                </pic:pic>
              </a:graphicData>
            </a:graphic>
          </wp:anchor>
        </w:drawing>
      </w:r>
    </w:p>
    <w:p>
      <w:pPr>
        <w:pStyle w:val="Heading"/>
        <w:rPr/>
      </w:pPr>
      <w:r>
        <w:rPr/>
      </w:r>
    </w:p>
    <w:p>
      <w:pPr>
        <w:pStyle w:val="Heading"/>
        <w:rPr/>
      </w:pPr>
      <w:r>
        <w:rPr/>
      </w:r>
    </w:p>
    <w:p>
      <w:pPr>
        <w:pStyle w:val="Heading"/>
        <w:rPr/>
      </w:pPr>
      <w:r>
        <w:rPr/>
      </w:r>
    </w:p>
    <w:p>
      <w:pPr>
        <w:pStyle w:val="Heading"/>
        <w:rPr/>
      </w:pPr>
      <w:r>
        <w:rPr/>
      </w:r>
    </w:p>
    <w:p>
      <w:pPr>
        <w:pStyle w:val="Heading"/>
        <w:rPr/>
      </w:pPr>
      <w:r>
        <w:rPr/>
        <w:t>FOEX Index and the Methodology behind it</w:t>
      </w:r>
    </w:p>
    <w:p>
      <w:pPr>
        <w:pStyle w:val="Normal"/>
        <w:jc w:val="center"/>
        <w:rPr>
          <w:b/>
          <w:bCs/>
        </w:rPr>
      </w:pPr>
      <w:r>
        <w:rPr>
          <w:b/>
          <w:bCs/>
        </w:rPr>
      </w:r>
    </w:p>
    <w:p>
      <w:pPr>
        <w:pStyle w:val="Normal"/>
        <w:rPr>
          <w:b/>
          <w:bCs/>
        </w:rPr>
      </w:pPr>
      <w:r>
        <w:rPr>
          <w:b/>
          <w:bCs/>
        </w:rPr>
      </w:r>
    </w:p>
    <w:p>
      <w:pPr>
        <w:pStyle w:val="Normal"/>
        <w:autoSpaceDE w:val="false"/>
        <w:rPr/>
      </w:pPr>
      <w:r>
        <w:rPr/>
        <w:t xml:space="preserve">PIX accurately tracks the price of prime quality NBSK and BHKP (Bleached Hardwood Kraft ; Eucalyptus/Birch) CIF Europe , which is the largest market for pulp, by logging transactions between major players on the pulp market (around 40-50 companies) from 16 different countries in Europe and outside Europe.  Since 40% of the world pulp trade is for the European market this is considered to be the world market price particularly as the North American prices have a correlation of well over 0.9 with the European prices. </w:t>
      </w:r>
    </w:p>
    <w:p>
      <w:pPr>
        <w:pStyle w:val="Normal"/>
        <w:autoSpaceDE w:val="false"/>
        <w:rPr/>
      </w:pPr>
      <w:r>
        <w:rPr/>
      </w:r>
    </w:p>
    <w:p>
      <w:pPr>
        <w:pStyle w:val="Normal"/>
        <w:rPr>
          <w:lang w:val="en-GB"/>
        </w:rPr>
      </w:pPr>
      <w:r>
        <w:rPr>
          <w:lang w:val="en-GB"/>
        </w:rPr>
        <w:t>The PIX benchmark index is calculated and confirmed by FOEX based on confidential price information collected on a weekly basis from companies trading in pulp. It is based on real invoiced pulp sales. The index is broadcasted through major information services at 12.00 am Helsinki time every Tuesday. Pulp buyers, sellers and agents supply the price information of at most three latest trades which qualify the following acceptance criteria:</w:t>
      </w:r>
    </w:p>
    <w:p>
      <w:pPr>
        <w:pStyle w:val="Normal"/>
        <w:rPr>
          <w:lang w:val="en-GB"/>
        </w:rPr>
      </w:pPr>
      <w:r>
        <w:rPr>
          <w:lang w:val="en-GB"/>
        </w:rPr>
      </w:r>
    </w:p>
    <w:p>
      <w:pPr>
        <w:pStyle w:val="Normal"/>
        <w:numPr>
          <w:ilvl w:val="0"/>
          <w:numId w:val="1"/>
        </w:numPr>
        <w:tabs>
          <w:tab w:val="clear" w:pos="720"/>
          <w:tab w:val="left" w:pos="1080" w:leader="none"/>
        </w:tabs>
        <w:rPr>
          <w:lang w:val="en-GB"/>
        </w:rPr>
      </w:pPr>
      <w:r>
        <w:rPr>
          <w:lang w:val="en-GB"/>
        </w:rPr>
        <w:t>The price is for an amount over 100 metric tons of prime quality NBSK in USD and BHKP market pulp in EURO/ECU.</w:t>
      </w:r>
    </w:p>
    <w:p>
      <w:pPr>
        <w:pStyle w:val="Normal"/>
        <w:numPr>
          <w:ilvl w:val="0"/>
          <w:numId w:val="1"/>
        </w:numPr>
        <w:tabs>
          <w:tab w:val="clear" w:pos="720"/>
          <w:tab w:val="left" w:pos="1080" w:leader="none"/>
        </w:tabs>
        <w:ind w:hanging="72" w:start="792" w:end="0"/>
        <w:rPr>
          <w:lang w:val="en-GB"/>
        </w:rPr>
      </w:pPr>
      <w:r>
        <w:rPr>
          <w:lang w:val="en-GB"/>
        </w:rPr>
        <w:t>Terms of delivery: CIF North Atlantic or North Sea port (European port)</w:t>
      </w:r>
    </w:p>
    <w:p>
      <w:pPr>
        <w:pStyle w:val="Normal"/>
        <w:numPr>
          <w:ilvl w:val="0"/>
          <w:numId w:val="1"/>
        </w:numPr>
        <w:tabs>
          <w:tab w:val="clear" w:pos="720"/>
          <w:tab w:val="left" w:pos="1080" w:leader="none"/>
        </w:tabs>
        <w:ind w:hanging="72" w:start="792" w:end="0"/>
        <w:rPr>
          <w:lang w:val="en-GB"/>
        </w:rPr>
      </w:pPr>
      <w:r>
        <w:rPr>
          <w:lang w:val="en-GB"/>
        </w:rPr>
        <w:t xml:space="preserve">Terms of payment : </w:t>
      </w:r>
      <w:r>
        <w:rPr/>
        <w:t xml:space="preserve">10-14 days with cash discount, 30-60 days net or other </w:t>
      </w:r>
    </w:p>
    <w:p>
      <w:pPr>
        <w:pStyle w:val="Normal"/>
        <w:tabs>
          <w:tab w:val="clear" w:pos="720"/>
          <w:tab w:val="left" w:pos="1080" w:leader="none"/>
        </w:tabs>
        <w:ind w:start="720" w:end="0"/>
        <w:rPr/>
      </w:pPr>
      <w:r>
        <w:rPr/>
        <w:tab/>
        <w:t xml:space="preserve">term of payment, which is used in the majority of sales/purchases or   </w:t>
      </w:r>
    </w:p>
    <w:p>
      <w:pPr>
        <w:pStyle w:val="Normal"/>
        <w:tabs>
          <w:tab w:val="clear" w:pos="720"/>
          <w:tab w:val="left" w:pos="1080" w:leader="none"/>
        </w:tabs>
        <w:ind w:start="720" w:end="0"/>
        <w:rPr>
          <w:lang w:val="en-GB"/>
        </w:rPr>
      </w:pPr>
      <w:r>
        <w:rPr/>
        <w:tab/>
        <w:t>received from all/several suppliers.</w:t>
      </w:r>
    </w:p>
    <w:p>
      <w:pPr>
        <w:pStyle w:val="Normal"/>
        <w:numPr>
          <w:ilvl w:val="0"/>
          <w:numId w:val="1"/>
        </w:numPr>
        <w:tabs>
          <w:tab w:val="clear" w:pos="720"/>
          <w:tab w:val="left" w:pos="1080" w:leader="none"/>
        </w:tabs>
        <w:ind w:hanging="72" w:start="792" w:end="0"/>
        <w:rPr>
          <w:lang w:val="en-GB"/>
        </w:rPr>
      </w:pPr>
      <w:r>
        <w:rPr>
          <w:lang w:val="en-GB"/>
        </w:rPr>
        <w:t>Price before any rebates based on quantity, customer or delivery</w:t>
      </w:r>
    </w:p>
    <w:p>
      <w:pPr>
        <w:pStyle w:val="Normal"/>
        <w:numPr>
          <w:ilvl w:val="0"/>
          <w:numId w:val="1"/>
        </w:numPr>
        <w:rPr>
          <w:lang w:val="en-GB"/>
        </w:rPr>
      </w:pPr>
      <w:r>
        <w:rPr>
          <w:lang w:val="en-GB"/>
        </w:rPr>
        <w:t>Price for a regular customer for pulp intended to be delivered within the</w:t>
      </w:r>
    </w:p>
    <w:p>
      <w:pPr>
        <w:pStyle w:val="Normal"/>
        <w:rPr>
          <w:lang w:val="en-GB"/>
        </w:rPr>
      </w:pPr>
      <w:r>
        <w:rPr>
          <w:lang w:val="en-GB"/>
        </w:rPr>
        <w:t xml:space="preserve">                  </w:t>
      </w:r>
      <w:r>
        <w:rPr>
          <w:lang w:val="en-GB"/>
        </w:rPr>
        <w:t>current month or latest during the month following the trade</w:t>
      </w:r>
    </w:p>
    <w:p>
      <w:pPr>
        <w:pStyle w:val="Normal"/>
        <w:numPr>
          <w:ilvl w:val="0"/>
          <w:numId w:val="1"/>
        </w:numPr>
        <w:tabs>
          <w:tab w:val="clear" w:pos="720"/>
          <w:tab w:val="left" w:pos="1080" w:leader="none"/>
        </w:tabs>
        <w:ind w:hanging="72" w:start="792" w:end="0"/>
        <w:rPr>
          <w:lang w:val="en-GB"/>
        </w:rPr>
      </w:pPr>
      <w:r>
        <w:rPr>
          <w:lang w:val="en-GB"/>
        </w:rPr>
        <w:t>Standard dryness i.e. 90% air dry</w:t>
      </w:r>
    </w:p>
    <w:p>
      <w:pPr>
        <w:pStyle w:val="Normal"/>
        <w:numPr>
          <w:ilvl w:val="0"/>
          <w:numId w:val="1"/>
        </w:numPr>
        <w:tabs>
          <w:tab w:val="clear" w:pos="720"/>
          <w:tab w:val="left" w:pos="1080" w:leader="none"/>
        </w:tabs>
        <w:ind w:hanging="72" w:start="792" w:end="0"/>
        <w:rPr>
          <w:lang w:val="en-GB"/>
        </w:rPr>
      </w:pPr>
      <w:r>
        <w:rPr>
          <w:lang w:val="en-GB"/>
        </w:rPr>
        <w:t>Standard strength characteristics</w:t>
      </w:r>
    </w:p>
    <w:p>
      <w:pPr>
        <w:pStyle w:val="Normal"/>
        <w:numPr>
          <w:ilvl w:val="0"/>
          <w:numId w:val="1"/>
        </w:numPr>
        <w:tabs>
          <w:tab w:val="clear" w:pos="720"/>
          <w:tab w:val="left" w:pos="1080" w:leader="none"/>
        </w:tabs>
        <w:ind w:hanging="72" w:start="792" w:end="0"/>
        <w:rPr>
          <w:lang w:val="en-GB"/>
        </w:rPr>
      </w:pPr>
      <w:r>
        <w:rPr>
          <w:lang w:val="en-GB"/>
        </w:rPr>
        <w:t>Brightness 88 or higher (for standard ECF/TCF)</w:t>
      </w:r>
    </w:p>
    <w:p>
      <w:pPr>
        <w:pStyle w:val="Normal"/>
        <w:rPr>
          <w:lang w:val="en-GB"/>
        </w:rPr>
      </w:pPr>
      <w:r>
        <w:rPr>
          <w:lang w:val="en-GB"/>
        </w:rPr>
      </w:r>
    </w:p>
    <w:p>
      <w:pPr>
        <w:pStyle w:val="Normal"/>
        <w:rPr>
          <w:lang w:val="en-GB"/>
        </w:rPr>
      </w:pPr>
      <w:r>
        <w:rPr>
          <w:lang w:val="en-GB"/>
        </w:rPr>
      </w:r>
    </w:p>
    <w:p>
      <w:pPr>
        <w:pStyle w:val="Normal"/>
        <w:autoSpaceDE w:val="false"/>
        <w:rPr>
          <w:szCs w:val="20"/>
        </w:rPr>
      </w:pPr>
      <w:r>
        <w:rPr>
          <w:szCs w:val="20"/>
        </w:rPr>
        <w:t>The sellers reporting to FOEX are, from Canada, US West Coast and the Nordic countries. BHKP sellers are from the Nordic region, Latin America, Spain and Portugal and a number of Asian/African companies selling Eucalyptus pulp to the European market. Buyers are European producers of paper and paperboard buying at least some of their pulp from the open market, representing virtually all countries in Western Europe. The split between birch and eucalyptus is approximately 30%/70%, again reflecting the actual situation in the European market. The exact coverage is difficult to calculate as some of the data received from buyers is from the same deals which are reported by the sellers and some are not. The producers represent roughly 80% of the supply to Europe in the two benchmark grades.</w:t>
      </w:r>
    </w:p>
    <w:p>
      <w:pPr>
        <w:pStyle w:val="Normal"/>
        <w:autoSpaceDE w:val="false"/>
        <w:rPr>
          <w:szCs w:val="20"/>
        </w:rPr>
      </w:pPr>
      <w:r>
        <w:rPr>
          <w:szCs w:val="20"/>
        </w:rPr>
        <w:t>80-90% of the pulp sold in Europe is so-called contract business. This means that a buyer and a seller have an annual or multiannual contract covering the grades and volumes, quantity rebates etc. However, prices are fixed also for contract business on a monthly/quarterly basis. Most of the pulp arriving Continental Europe or UK from abroad, goes through consignment warehouses (in places like Antwerp, Rotterdam, La Pallice, Tilbury, Savono-Livorno range etc.). As forwarding companies allow 30-60 days of free storage, buyers do not hold much inventory at their mills but take the pulp,</w:t>
      </w:r>
    </w:p>
    <w:p>
      <w:pPr>
        <w:pStyle w:val="Normal"/>
        <w:autoSpaceDE w:val="false"/>
        <w:rPr>
          <w:szCs w:val="20"/>
        </w:rPr>
      </w:pPr>
      <w:r>
        <w:rPr>
          <w:szCs w:val="20"/>
        </w:rPr>
        <w:t>delivered by sellers in large shipments, little be little by lorry, rail or barge. Each delivery is invoiced separately and those invoice prices are the price reported to FOEX, before customer specific rebates. Prices are for prime grade pulp and for delivery during the current or latest for the following month.</w:t>
      </w:r>
    </w:p>
    <w:p>
      <w:pPr>
        <w:pStyle w:val="Normal"/>
        <w:autoSpaceDE w:val="false"/>
        <w:rPr>
          <w:szCs w:val="20"/>
        </w:rPr>
      </w:pPr>
      <w:r>
        <w:rPr>
          <w:szCs w:val="20"/>
        </w:rPr>
      </w:r>
    </w:p>
    <w:p>
      <w:pPr>
        <w:pStyle w:val="Normal"/>
        <w:autoSpaceDE w:val="false"/>
        <w:rPr/>
      </w:pPr>
      <w:r>
        <w:rPr>
          <w:b/>
          <w:bCs/>
          <w:szCs w:val="20"/>
        </w:rPr>
        <w:t>The following comments are worth making</w:t>
      </w:r>
      <w:r>
        <w:rPr>
          <w:szCs w:val="20"/>
        </w:rPr>
        <w:t>:</w:t>
      </w:r>
    </w:p>
    <w:p>
      <w:pPr>
        <w:pStyle w:val="Normal"/>
        <w:autoSpaceDE w:val="false"/>
        <w:rPr>
          <w:szCs w:val="20"/>
        </w:rPr>
      </w:pPr>
      <w:r>
        <w:rPr>
          <w:szCs w:val="20"/>
        </w:rPr>
      </w:r>
    </w:p>
    <w:p>
      <w:pPr>
        <w:pStyle w:val="Normal"/>
        <w:autoSpaceDE w:val="false"/>
        <w:rPr>
          <w:szCs w:val="20"/>
        </w:rPr>
      </w:pPr>
      <w:r>
        <w:rPr>
          <w:szCs w:val="20"/>
        </w:rPr>
        <w:t>- FOEX system is based on first taking off top 10% and bottom 10% of the</w:t>
      </w:r>
    </w:p>
    <w:p>
      <w:pPr>
        <w:pStyle w:val="Normal"/>
        <w:autoSpaceDE w:val="false"/>
        <w:rPr>
          <w:szCs w:val="20"/>
        </w:rPr>
      </w:pPr>
      <w:r>
        <w:rPr>
          <w:szCs w:val="20"/>
        </w:rPr>
        <w:t>prices received and only then calculating the index (or rather benchmark)</w:t>
      </w:r>
    </w:p>
    <w:p>
      <w:pPr>
        <w:pStyle w:val="Normal"/>
        <w:autoSpaceDE w:val="false"/>
        <w:rPr>
          <w:szCs w:val="20"/>
        </w:rPr>
      </w:pPr>
      <w:r>
        <w:rPr>
          <w:szCs w:val="20"/>
        </w:rPr>
        <w:t>values. This way it avoids any clerical errors in the data received as well</w:t>
      </w:r>
    </w:p>
    <w:p>
      <w:pPr>
        <w:pStyle w:val="Normal"/>
        <w:autoSpaceDE w:val="false"/>
        <w:rPr>
          <w:szCs w:val="20"/>
        </w:rPr>
      </w:pPr>
      <w:r>
        <w:rPr>
          <w:szCs w:val="20"/>
        </w:rPr>
        <w:t xml:space="preserve">as any theoretical attempts of manipulation. </w:t>
      </w:r>
    </w:p>
    <w:p>
      <w:pPr>
        <w:pStyle w:val="Normal"/>
        <w:autoSpaceDE w:val="false"/>
        <w:rPr>
          <w:szCs w:val="20"/>
        </w:rPr>
      </w:pPr>
      <w:r>
        <w:rPr>
          <w:szCs w:val="20"/>
        </w:rPr>
      </w:r>
    </w:p>
    <w:p>
      <w:pPr>
        <w:pStyle w:val="Normal"/>
        <w:autoSpaceDE w:val="false"/>
        <w:rPr>
          <w:szCs w:val="20"/>
        </w:rPr>
      </w:pPr>
      <w:r>
        <w:rPr>
          <w:szCs w:val="20"/>
        </w:rPr>
        <w:t>- FOEX has a more or less equal number of prices received from buyers and</w:t>
      </w:r>
    </w:p>
    <w:p>
      <w:pPr>
        <w:pStyle w:val="Normal"/>
        <w:autoSpaceDE w:val="false"/>
        <w:rPr>
          <w:szCs w:val="20"/>
        </w:rPr>
      </w:pPr>
      <w:r>
        <w:rPr>
          <w:szCs w:val="20"/>
        </w:rPr>
        <w:t>sellers. Some are received through agents/merchants/trading houses - usually</w:t>
      </w:r>
    </w:p>
    <w:p>
      <w:pPr>
        <w:pStyle w:val="Normal"/>
        <w:autoSpaceDE w:val="false"/>
        <w:rPr>
          <w:szCs w:val="20"/>
        </w:rPr>
      </w:pPr>
      <w:r>
        <w:rPr>
          <w:szCs w:val="20"/>
        </w:rPr>
        <w:t>mandated by a supplier to give FOEX the price data</w:t>
      </w:r>
    </w:p>
    <w:p>
      <w:pPr>
        <w:pStyle w:val="Normal"/>
        <w:autoSpaceDE w:val="false"/>
        <w:rPr>
          <w:szCs w:val="20"/>
        </w:rPr>
      </w:pPr>
      <w:r>
        <w:rPr>
          <w:szCs w:val="20"/>
        </w:rPr>
      </w:r>
    </w:p>
    <w:p>
      <w:pPr>
        <w:pStyle w:val="Normal"/>
        <w:autoSpaceDE w:val="false"/>
        <w:rPr>
          <w:szCs w:val="20"/>
        </w:rPr>
      </w:pPr>
      <w:r>
        <w:rPr>
          <w:szCs w:val="20"/>
        </w:rPr>
        <w:t>- If someone does not report their prices on a given week, FOEX can use the</w:t>
      </w:r>
    </w:p>
    <w:p>
      <w:pPr>
        <w:pStyle w:val="Normal"/>
        <w:autoSpaceDE w:val="false"/>
        <w:rPr>
          <w:szCs w:val="20"/>
        </w:rPr>
      </w:pPr>
      <w:r>
        <w:rPr>
          <w:szCs w:val="20"/>
        </w:rPr>
        <w:t>previous week's data but only once</w:t>
      </w:r>
    </w:p>
    <w:p>
      <w:pPr>
        <w:pStyle w:val="Normal"/>
        <w:autoSpaceDE w:val="false"/>
        <w:rPr>
          <w:szCs w:val="20"/>
        </w:rPr>
      </w:pPr>
      <w:r>
        <w:rPr>
          <w:szCs w:val="20"/>
        </w:rPr>
      </w:r>
    </w:p>
    <w:p>
      <w:pPr>
        <w:pStyle w:val="Normal"/>
        <w:autoSpaceDE w:val="false"/>
        <w:rPr>
          <w:szCs w:val="20"/>
        </w:rPr>
      </w:pPr>
      <w:r>
        <w:rPr>
          <w:szCs w:val="20"/>
        </w:rPr>
        <w:t>- Prices are not volume-weighted (in order to avoid the manipulation</w:t>
      </w:r>
    </w:p>
    <w:p>
      <w:pPr>
        <w:pStyle w:val="Normal"/>
        <w:autoSpaceDE w:val="false"/>
        <w:rPr>
          <w:szCs w:val="20"/>
        </w:rPr>
      </w:pPr>
      <w:r>
        <w:rPr>
          <w:szCs w:val="20"/>
        </w:rPr>
        <w:t>possibility and unnecessary weekly changes up and down because a supplier</w:t>
      </w:r>
    </w:p>
    <w:p>
      <w:pPr>
        <w:pStyle w:val="Normal"/>
        <w:autoSpaceDE w:val="false"/>
        <w:rPr>
          <w:szCs w:val="20"/>
        </w:rPr>
      </w:pPr>
      <w:r>
        <w:rPr>
          <w:szCs w:val="20"/>
        </w:rPr>
        <w:t>sold one week to large customers and next week to small ones)</w:t>
      </w:r>
    </w:p>
    <w:p>
      <w:pPr>
        <w:pStyle w:val="Normal"/>
        <w:autoSpaceDE w:val="false"/>
        <w:rPr>
          <w:szCs w:val="20"/>
        </w:rPr>
      </w:pPr>
      <w:r>
        <w:rPr>
          <w:szCs w:val="20"/>
        </w:rPr>
      </w:r>
    </w:p>
    <w:p>
      <w:pPr>
        <w:pStyle w:val="Normal"/>
        <w:autoSpaceDE w:val="false"/>
        <w:rPr>
          <w:szCs w:val="20"/>
        </w:rPr>
      </w:pPr>
      <w:r>
        <w:rPr>
          <w:szCs w:val="20"/>
        </w:rPr>
        <w:t>- Prices are CIF European port before customer-specific rebates (again to</w:t>
      </w:r>
    </w:p>
    <w:p>
      <w:pPr>
        <w:pStyle w:val="Normal"/>
        <w:autoSpaceDE w:val="false"/>
        <w:rPr>
          <w:szCs w:val="20"/>
        </w:rPr>
      </w:pPr>
      <w:r>
        <w:rPr>
          <w:szCs w:val="20"/>
        </w:rPr>
        <w:t>avoid unnecessary volatility of the index at a time when prices remain</w:t>
      </w:r>
    </w:p>
    <w:p>
      <w:pPr>
        <w:pStyle w:val="Normal"/>
        <w:autoSpaceDE w:val="false"/>
        <w:rPr>
          <w:szCs w:val="20"/>
        </w:rPr>
      </w:pPr>
      <w:r>
        <w:rPr>
          <w:szCs w:val="20"/>
        </w:rPr>
        <w:t>unchanged; also, rebates are often given only afterwards - e.g. when</w:t>
      </w:r>
    </w:p>
    <w:p>
      <w:pPr>
        <w:pStyle w:val="Normal"/>
        <w:autoSpaceDE w:val="false"/>
        <w:rPr>
          <w:szCs w:val="20"/>
        </w:rPr>
      </w:pPr>
      <w:r>
        <w:rPr>
          <w:szCs w:val="20"/>
        </w:rPr>
        <w:t>exceeding a certain tonnage threshhold - and FOEX cannot alter the indexes</w:t>
      </w:r>
    </w:p>
    <w:p>
      <w:pPr>
        <w:pStyle w:val="Normal"/>
        <w:autoSpaceDE w:val="false"/>
        <w:rPr>
          <w:szCs w:val="20"/>
        </w:rPr>
      </w:pPr>
      <w:r>
        <w:rPr>
          <w:szCs w:val="20"/>
        </w:rPr>
        <w:t>retroactively)</w:t>
      </w:r>
    </w:p>
    <w:p>
      <w:pPr>
        <w:pStyle w:val="Normal"/>
        <w:autoSpaceDE w:val="false"/>
        <w:rPr>
          <w:szCs w:val="20"/>
        </w:rPr>
      </w:pPr>
      <w:r>
        <w:rPr>
          <w:szCs w:val="20"/>
        </w:rPr>
      </w:r>
    </w:p>
    <w:p>
      <w:pPr>
        <w:pStyle w:val="Normal"/>
        <w:autoSpaceDE w:val="false"/>
        <w:rPr>
          <w:szCs w:val="20"/>
        </w:rPr>
      </w:pPr>
      <w:r>
        <w:rPr>
          <w:szCs w:val="20"/>
        </w:rPr>
        <w:t>-The FOEX index system is approved by financial regulators and by European</w:t>
      </w:r>
    </w:p>
    <w:p>
      <w:pPr>
        <w:pStyle w:val="Normal"/>
        <w:autoSpaceDE w:val="false"/>
        <w:rPr>
          <w:szCs w:val="20"/>
        </w:rPr>
      </w:pPr>
      <w:r>
        <w:rPr>
          <w:szCs w:val="20"/>
        </w:rPr>
        <w:t>Community anti-trust regulators (=DG IV) and audited by</w:t>
      </w:r>
    </w:p>
    <w:p>
      <w:pPr>
        <w:pStyle w:val="Normal"/>
        <w:autoSpaceDE w:val="false"/>
        <w:rPr>
          <w:szCs w:val="20"/>
        </w:rPr>
      </w:pPr>
      <w:r>
        <w:rPr>
          <w:szCs w:val="20"/>
        </w:rPr>
        <w:t>PriceWaterhouseCoopers.</w:t>
      </w:r>
    </w:p>
    <w:p>
      <w:pPr>
        <w:pStyle w:val="Normal"/>
        <w:autoSpaceDE w:val="false"/>
        <w:rPr>
          <w:szCs w:val="20"/>
        </w:rPr>
      </w:pPr>
      <w:r>
        <w:rPr>
          <w:szCs w:val="20"/>
        </w:rPr>
      </w:r>
    </w:p>
    <w:p>
      <w:pPr>
        <w:pStyle w:val="Normal"/>
        <w:autoSpaceDE w:val="false"/>
        <w:rPr>
          <w:szCs w:val="20"/>
        </w:rPr>
      </w:pPr>
      <w:r>
        <w:rPr>
          <w:szCs w:val="20"/>
        </w:rPr>
        <w:t>- There is a group of independent experts, case need, as "trouble shooters".</w:t>
      </w:r>
    </w:p>
    <w:p>
      <w:pPr>
        <w:pStyle w:val="Normal"/>
        <w:autoSpaceDE w:val="false"/>
        <w:rPr>
          <w:szCs w:val="20"/>
        </w:rPr>
      </w:pPr>
      <w:r>
        <w:rPr>
          <w:szCs w:val="20"/>
        </w:rPr>
        <w:t>FOEX has never received any official complaints about the index values.</w:t>
      </w:r>
    </w:p>
    <w:p>
      <w:pPr>
        <w:pStyle w:val="Normal"/>
        <w:autoSpaceDE w:val="false"/>
        <w:rPr>
          <w:szCs w:val="20"/>
        </w:rPr>
      </w:pPr>
      <w:r>
        <w:rPr>
          <w:szCs w:val="20"/>
        </w:rPr>
      </w:r>
    </w:p>
    <w:p>
      <w:pPr>
        <w:pStyle w:val="Normal"/>
        <w:autoSpaceDE w:val="false"/>
        <w:rPr>
          <w:szCs w:val="20"/>
        </w:rPr>
      </w:pPr>
      <w:r>
        <w:rPr>
          <w:szCs w:val="20"/>
        </w:rPr>
        <w:t>- Participation is totally voluntary</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The main reasons for differences between the often compared FOEX indexes</w:t>
      </w:r>
    </w:p>
    <w:p>
      <w:pPr>
        <w:pStyle w:val="Normal"/>
        <w:autoSpaceDE w:val="false"/>
        <w:rPr>
          <w:b/>
          <w:bCs/>
          <w:szCs w:val="20"/>
        </w:rPr>
      </w:pPr>
      <w:r>
        <w:rPr>
          <w:b/>
          <w:bCs/>
          <w:szCs w:val="20"/>
        </w:rPr>
        <w:t>and Pulpex quotations include:</w:t>
      </w:r>
    </w:p>
    <w:p>
      <w:pPr>
        <w:pStyle w:val="Normal"/>
        <w:autoSpaceDE w:val="false"/>
        <w:rPr>
          <w:b/>
          <w:bCs/>
          <w:szCs w:val="20"/>
        </w:rPr>
      </w:pPr>
      <w:r>
        <w:rPr>
          <w:b/>
          <w:bCs/>
          <w:szCs w:val="20"/>
        </w:rPr>
      </w:r>
    </w:p>
    <w:p>
      <w:pPr>
        <w:pStyle w:val="Normal"/>
        <w:autoSpaceDE w:val="false"/>
        <w:rPr>
          <w:szCs w:val="20"/>
        </w:rPr>
      </w:pPr>
      <w:r>
        <w:rPr>
          <w:szCs w:val="20"/>
        </w:rPr>
        <w:t>a) FOEX prices are before customer-specific rebates (averaging 5-6%), Pulpex</w:t>
      </w:r>
    </w:p>
    <w:p>
      <w:pPr>
        <w:pStyle w:val="Normal"/>
        <w:autoSpaceDE w:val="false"/>
        <w:rPr>
          <w:szCs w:val="20"/>
        </w:rPr>
      </w:pPr>
      <w:r>
        <w:rPr>
          <w:szCs w:val="20"/>
        </w:rPr>
        <w:t>prices are net</w:t>
      </w:r>
    </w:p>
    <w:p>
      <w:pPr>
        <w:pStyle w:val="Normal"/>
        <w:autoSpaceDE w:val="false"/>
        <w:rPr>
          <w:szCs w:val="20"/>
        </w:rPr>
      </w:pPr>
      <w:r>
        <w:rPr>
          <w:szCs w:val="20"/>
        </w:rPr>
        <w:t>b) FOEX prices are for contract business, Pulpex prices represent the lowest</w:t>
      </w:r>
    </w:p>
    <w:p>
      <w:pPr>
        <w:pStyle w:val="Normal"/>
        <w:autoSpaceDE w:val="false"/>
        <w:rPr>
          <w:szCs w:val="20"/>
        </w:rPr>
      </w:pPr>
      <w:r>
        <w:rPr>
          <w:szCs w:val="20"/>
        </w:rPr>
        <w:t>spot-levels in a weak market and highest spots in a strong market</w:t>
      </w:r>
    </w:p>
    <w:p>
      <w:pPr>
        <w:pStyle w:val="Normal"/>
        <w:autoSpaceDE w:val="false"/>
        <w:rPr>
          <w:szCs w:val="20"/>
        </w:rPr>
      </w:pPr>
      <w:r>
        <w:rPr>
          <w:szCs w:val="20"/>
        </w:rPr>
      </w:r>
    </w:p>
    <w:p>
      <w:pPr>
        <w:pStyle w:val="Normal"/>
        <w:autoSpaceDE w:val="false"/>
        <w:rPr>
          <w:szCs w:val="20"/>
        </w:rPr>
      </w:pPr>
      <w:r>
        <w:rPr>
          <w:szCs w:val="20"/>
        </w:rPr>
        <w:t>c) FOEX price info is based on actual sales, Pulpex prices are expectations</w:t>
      </w:r>
    </w:p>
    <w:p>
      <w:pPr>
        <w:pStyle w:val="Normal"/>
        <w:autoSpaceDE w:val="false"/>
        <w:rPr>
          <w:szCs w:val="20"/>
        </w:rPr>
      </w:pPr>
      <w:r>
        <w:rPr>
          <w:szCs w:val="20"/>
        </w:rPr>
        <w:t>what the spot price might be in e.g. 3 month's time</w:t>
      </w:r>
    </w:p>
    <w:p>
      <w:pPr>
        <w:pStyle w:val="Normal"/>
        <w:autoSpaceDE w:val="false"/>
        <w:rPr>
          <w:szCs w:val="20"/>
        </w:rPr>
      </w:pPr>
      <w:r>
        <w:rPr>
          <w:szCs w:val="20"/>
        </w:rPr>
      </w:r>
    </w:p>
    <w:p>
      <w:pPr>
        <w:pStyle w:val="Normal"/>
        <w:autoSpaceDE w:val="false"/>
        <w:rPr>
          <w:szCs w:val="20"/>
        </w:rPr>
      </w:pPr>
      <w:r>
        <w:rPr>
          <w:szCs w:val="20"/>
        </w:rPr>
        <w:t>d) FOEX price is for a prime quality (within each benchmark grade there are</w:t>
      </w:r>
    </w:p>
    <w:p>
      <w:pPr>
        <w:pStyle w:val="Normal"/>
        <w:autoSpaceDE w:val="false"/>
        <w:rPr>
          <w:szCs w:val="20"/>
        </w:rPr>
      </w:pPr>
      <w:r>
        <w:rPr>
          <w:szCs w:val="20"/>
        </w:rPr>
        <w:t>surprisingly large differences between individual mill grades sold) approved</w:t>
      </w:r>
    </w:p>
    <w:p>
      <w:pPr>
        <w:pStyle w:val="Normal"/>
        <w:autoSpaceDE w:val="false"/>
        <w:rPr>
          <w:szCs w:val="20"/>
        </w:rPr>
      </w:pPr>
      <w:r>
        <w:rPr>
          <w:szCs w:val="20"/>
        </w:rPr>
        <w:t>by a seller from a particular supplier/mill, whilst Pulpex prices, based on</w:t>
      </w:r>
    </w:p>
    <w:p>
      <w:pPr>
        <w:pStyle w:val="Normal"/>
        <w:autoSpaceDE w:val="false"/>
        <w:rPr>
          <w:szCs w:val="20"/>
        </w:rPr>
      </w:pPr>
      <w:r>
        <w:rPr>
          <w:szCs w:val="20"/>
        </w:rPr>
        <w:t>a delivery concept (i.e. you do not accept the price offered to close a</w:t>
      </w:r>
    </w:p>
    <w:p>
      <w:pPr>
        <w:pStyle w:val="Normal"/>
        <w:autoSpaceDE w:val="false"/>
        <w:rPr>
          <w:szCs w:val="20"/>
        </w:rPr>
      </w:pPr>
      <w:r>
        <w:rPr>
          <w:szCs w:val="20"/>
        </w:rPr>
        <w:t>contract, you can make/take delivery), are prices in a particular inventory</w:t>
      </w:r>
    </w:p>
    <w:p>
      <w:pPr>
        <w:pStyle w:val="Normal"/>
        <w:autoSpaceDE w:val="false"/>
        <w:rPr>
          <w:szCs w:val="20"/>
        </w:rPr>
      </w:pPr>
      <w:r>
        <w:rPr>
          <w:szCs w:val="20"/>
        </w:rPr>
        <w:t>location (3-4 alternative ones), sometimes far away from buyer's or seller's</w:t>
      </w:r>
    </w:p>
    <w:p>
      <w:pPr>
        <w:pStyle w:val="Normal"/>
        <w:autoSpaceDE w:val="false"/>
        <w:rPr>
          <w:szCs w:val="20"/>
        </w:rPr>
      </w:pPr>
      <w:r>
        <w:rPr>
          <w:szCs w:val="20"/>
        </w:rPr>
        <w:t>normal ports for any lot (often unknown/unwanted grade, up to 11 months and</w:t>
      </w:r>
    </w:p>
    <w:p>
      <w:pPr>
        <w:pStyle w:val="Normal"/>
        <w:autoSpaceDE w:val="false"/>
        <w:rPr>
          <w:szCs w:val="20"/>
        </w:rPr>
      </w:pPr>
      <w:r>
        <w:rPr>
          <w:szCs w:val="20"/>
        </w:rPr>
        <w:t>29 days old goods). This system tends to emphasize in the Pulpex system the</w:t>
      </w:r>
    </w:p>
    <w:p>
      <w:pPr>
        <w:pStyle w:val="Normal"/>
        <w:autoSpaceDE w:val="false"/>
        <w:rPr>
          <w:szCs w:val="20"/>
        </w:rPr>
      </w:pPr>
      <w:r>
        <w:rPr>
          <w:szCs w:val="20"/>
        </w:rPr>
        <w:t>extreme prices, up or down, particularly in these early stages with low</w:t>
      </w:r>
    </w:p>
    <w:p>
      <w:pPr>
        <w:pStyle w:val="Normal"/>
        <w:autoSpaceDE w:val="false"/>
        <w:rPr>
          <w:szCs w:val="20"/>
        </w:rPr>
      </w:pPr>
      <w:r>
        <w:rPr>
          <w:szCs w:val="20"/>
        </w:rPr>
        <w:t>liquidity.</w:t>
      </w:r>
    </w:p>
    <w:p>
      <w:pPr>
        <w:pStyle w:val="Normal"/>
        <w:autoSpaceDE w:val="false"/>
        <w:rPr>
          <w:szCs w:val="20"/>
        </w:rPr>
      </w:pPr>
      <w:r>
        <w:rPr>
          <w:szCs w:val="20"/>
        </w:rPr>
      </w:r>
    </w:p>
    <w:p>
      <w:pPr>
        <w:pStyle w:val="Normal"/>
        <w:autoSpaceDE w:val="false"/>
        <w:rPr>
          <w:szCs w:val="20"/>
        </w:rPr>
      </w:pPr>
      <w:r>
        <w:rPr>
          <w:szCs w:val="20"/>
        </w:rPr>
        <w:t>e) FOEX indexes are trade-marked products. Therefore their use for any</w:t>
      </w:r>
    </w:p>
    <w:p>
      <w:pPr>
        <w:pStyle w:val="Normal"/>
        <w:autoSpaceDE w:val="false"/>
        <w:rPr>
          <w:szCs w:val="20"/>
        </w:rPr>
      </w:pPr>
      <w:r>
        <w:rPr>
          <w:szCs w:val="20"/>
        </w:rPr>
        <w:t>commercial purposes is possible only with our permission. To get that</w:t>
      </w:r>
    </w:p>
    <w:p>
      <w:pPr>
        <w:pStyle w:val="Normal"/>
        <w:autoSpaceDE w:val="false"/>
        <w:rPr>
          <w:szCs w:val="20"/>
        </w:rPr>
      </w:pPr>
      <w:r>
        <w:rPr>
          <w:szCs w:val="20"/>
        </w:rPr>
        <w:t>permission, users pay us a small premium, the main source of our income.</w:t>
      </w:r>
    </w:p>
    <w:p>
      <w:pPr>
        <w:pStyle w:val="Normal"/>
        <w:rPr>
          <w:szCs w:val="20"/>
        </w:rPr>
      </w:pPr>
      <w:r>
        <w:rPr>
          <w:szCs w:val="20"/>
        </w:rPr>
      </w:r>
    </w:p>
    <w:p>
      <w:pPr>
        <w:pStyle w:val="Normal"/>
        <w:jc w:val="center"/>
        <w:rPr>
          <w:b/>
          <w:bCs/>
        </w:rPr>
      </w:pPr>
      <w:r>
        <w:rPr>
          <w:b/>
          <w:bCs/>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t>EIM Fundamentals</w:t>
    </w:r>
  </w:p>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108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2001-07-24T13:18:00Z</dcterms:created>
  <dc:creator>mcaushol</dc:creator>
  <dc:description/>
  <dc:language>en-CA</dc:language>
  <cp:lastModifiedBy>mcaushol</cp:lastModifiedBy>
  <dcterms:modified xsi:type="dcterms:W3CDTF">2001-07-26T11:05:00Z</dcterms:modified>
  <cp:revision>9</cp:revision>
  <dc:subject/>
  <dc:title>FOEX Index and the Methodology behind it</dc:title>
</cp:coreProperties>
</file>