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sz w:val="48"/>
        </w:rPr>
      </w:pPr>
      <w:r>
        <w:rPr>
          <w:b/>
          <w:sz w:val="52"/>
        </w:rPr>
        <w:t>THE DIRECTORY OF EUROPEAN FUND MANAGEMENT 2000</w:t>
      </w:r>
    </w:p>
    <w:p>
      <w:pPr>
        <w:pStyle w:val="Normal"/>
        <w:shd w:fill="000000" w:val="clear"/>
        <w:jc w:val="center"/>
        <w:rPr>
          <w:i/>
          <w:i/>
        </w:rPr>
      </w:pPr>
      <w:r>
        <w:rPr>
          <w:b/>
        </w:rPr>
        <w:t>REVISED, EXPANDED, UPDATED AND ON-LINE</w:t>
      </w:r>
    </w:p>
    <w:p>
      <w:pPr>
        <w:pStyle w:val="Normal"/>
        <w:shd w:fill="DFDFDF" w:val="clear"/>
        <w:jc w:val="center"/>
        <w:rPr>
          <w:b/>
          <w:sz w:val="24"/>
        </w:rPr>
      </w:pPr>
      <w:r>
        <w:rPr>
          <w:b/>
          <w:sz w:val="24"/>
        </w:rPr>
        <w:t xml:space="preserve">Price </w:t>
      </w:r>
      <w:r>
        <w:rPr>
          <w:rFonts w:cs="Arial" w:ascii="Arial" w:hAnsi="Arial"/>
          <w:b/>
          <w:sz w:val="24"/>
          <w:lang w:eastAsia="en-US"/>
        </w:rPr>
        <w:t>£575/$940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Revised, expanded and updated the new directory has more entries, enhanced detail and wider geographical coverage. The new directory is an essential source for the very latest contact information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>
          <w:sz w:val="22"/>
        </w:rPr>
        <w:t xml:space="preserve">The updated directory contains more than </w:t>
      </w:r>
      <w:r>
        <w:rPr>
          <w:b/>
          <w:sz w:val="22"/>
        </w:rPr>
        <w:t>1500 European Fund Management companies in 31 markets</w:t>
      </w:r>
      <w:r>
        <w:rPr>
          <w:sz w:val="22"/>
        </w:rPr>
        <w:t>. The directory lists all aspects of fund management companies including:</w:t>
      </w:r>
    </w:p>
    <w:p>
      <w:pPr>
        <w:pStyle w:val="Normal"/>
        <w:numPr>
          <w:ilvl w:val="0"/>
          <w:numId w:val="1"/>
        </w:num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sz w:val="22"/>
        </w:rPr>
      </w:pPr>
      <w:r>
        <w:rPr>
          <w:sz w:val="22"/>
        </w:rPr>
        <w:t>Detailed contact information, phone and fax numbers</w:t>
      </w:r>
    </w:p>
    <w:p>
      <w:pPr>
        <w:pStyle w:val="Normal"/>
        <w:numPr>
          <w:ilvl w:val="0"/>
          <w:numId w:val="1"/>
        </w:num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sz w:val="22"/>
        </w:rPr>
      </w:pPr>
      <w:r>
        <w:rPr>
          <w:sz w:val="22"/>
        </w:rPr>
        <w:t>Key personnel, including CEO, CIO, CFO, heads of desk, head of dealing, head of compliance and individual fund managers.</w:t>
      </w:r>
    </w:p>
    <w:p>
      <w:pPr>
        <w:pStyle w:val="Normal"/>
        <w:numPr>
          <w:ilvl w:val="0"/>
          <w:numId w:val="1"/>
        </w:num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sz w:val="22"/>
        </w:rPr>
      </w:pPr>
      <w:r>
        <w:rPr>
          <w:sz w:val="22"/>
        </w:rPr>
        <w:t>Assets under management</w:t>
      </w:r>
    </w:p>
    <w:p>
      <w:pPr>
        <w:pStyle w:val="Normal"/>
        <w:numPr>
          <w:ilvl w:val="0"/>
          <w:numId w:val="1"/>
        </w:num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sz w:val="22"/>
        </w:rPr>
      </w:pPr>
      <w:r>
        <w:rPr>
          <w:sz w:val="22"/>
        </w:rPr>
        <w:t>Investment style/strategy</w:t>
      </w:r>
    </w:p>
    <w:p>
      <w:pPr>
        <w:pStyle w:val="Normal"/>
        <w:numPr>
          <w:ilvl w:val="0"/>
          <w:numId w:val="1"/>
        </w:num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sz w:val="22"/>
        </w:rPr>
      </w:pPr>
      <w:r>
        <w:rPr>
          <w:sz w:val="22"/>
        </w:rPr>
        <w:t>Performance statistics</w:t>
      </w:r>
    </w:p>
    <w:p>
      <w:pPr>
        <w:pStyle w:val="Normal"/>
        <w:numPr>
          <w:ilvl w:val="0"/>
          <w:numId w:val="1"/>
        </w:num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sz w:val="22"/>
        </w:rPr>
      </w:pPr>
      <w:r>
        <w:rPr>
          <w:sz w:val="22"/>
        </w:rPr>
        <w:t>Custodians and trust service providers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b/>
          <w:sz w:val="22"/>
        </w:rPr>
        <w:t>All entries have been updated and verified since the previous edition - we have also expanded entries where limited information was previously available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The directory is an essential reference tool for institutional investors, banks, brokers, custodians and consultants.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shd w:fill="000000" w:val="clear"/>
        <w:jc w:val="center"/>
        <w:rPr>
          <w:sz w:val="22"/>
        </w:rPr>
      </w:pPr>
      <w:r>
        <w:rPr>
          <w:b/>
          <w:sz w:val="22"/>
        </w:rPr>
        <w:t xml:space="preserve">MARKETS COVERED INCLUDE 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560" w:right="1608" w:gutter="0" w:header="720" w:top="1440" w:footer="72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2"/>
        </w:rPr>
      </w:pPr>
      <w:r>
        <w:rPr>
          <w:sz w:val="22"/>
        </w:rPr>
        <w:t>Austria</w:t>
      </w:r>
    </w:p>
    <w:p>
      <w:pPr>
        <w:pStyle w:val="Normal"/>
        <w:rPr>
          <w:sz w:val="22"/>
        </w:rPr>
      </w:pPr>
      <w:r>
        <w:rPr>
          <w:sz w:val="22"/>
        </w:rPr>
        <w:t>Belgium</w:t>
      </w:r>
    </w:p>
    <w:p>
      <w:pPr>
        <w:pStyle w:val="Normal"/>
        <w:rPr>
          <w:sz w:val="22"/>
        </w:rPr>
      </w:pPr>
      <w:r>
        <w:rPr>
          <w:sz w:val="22"/>
        </w:rPr>
        <w:t>Bulgaria</w:t>
      </w:r>
    </w:p>
    <w:p>
      <w:pPr>
        <w:pStyle w:val="Normal"/>
        <w:rPr>
          <w:sz w:val="22"/>
        </w:rPr>
      </w:pPr>
      <w:r>
        <w:rPr>
          <w:sz w:val="22"/>
        </w:rPr>
        <w:t>Czech Republic</w:t>
      </w:r>
    </w:p>
    <w:p>
      <w:pPr>
        <w:pStyle w:val="Normal"/>
        <w:rPr>
          <w:sz w:val="22"/>
        </w:rPr>
      </w:pPr>
      <w:r>
        <w:rPr>
          <w:sz w:val="22"/>
        </w:rPr>
        <w:t>Denmark</w:t>
      </w:r>
    </w:p>
    <w:p>
      <w:pPr>
        <w:pStyle w:val="Normal"/>
        <w:rPr>
          <w:sz w:val="22"/>
        </w:rPr>
      </w:pPr>
      <w:r>
        <w:rPr>
          <w:sz w:val="22"/>
        </w:rPr>
        <w:t>Estonia</w:t>
      </w:r>
    </w:p>
    <w:p>
      <w:pPr>
        <w:pStyle w:val="Normal"/>
        <w:rPr>
          <w:sz w:val="22"/>
        </w:rPr>
      </w:pPr>
      <w:r>
        <w:rPr>
          <w:sz w:val="22"/>
        </w:rPr>
        <w:t>Finland</w:t>
      </w:r>
    </w:p>
    <w:p>
      <w:pPr>
        <w:pStyle w:val="Normal"/>
        <w:rPr>
          <w:sz w:val="22"/>
        </w:rPr>
      </w:pPr>
      <w:r>
        <w:rPr>
          <w:sz w:val="22"/>
        </w:rPr>
        <w:t>France</w:t>
      </w:r>
    </w:p>
    <w:p>
      <w:pPr>
        <w:pStyle w:val="Normal"/>
        <w:rPr>
          <w:sz w:val="22"/>
        </w:rPr>
      </w:pPr>
      <w:r>
        <w:rPr>
          <w:sz w:val="22"/>
        </w:rPr>
        <w:t>Germany</w:t>
      </w:r>
    </w:p>
    <w:p>
      <w:pPr>
        <w:pStyle w:val="Normal"/>
        <w:rPr>
          <w:sz w:val="22"/>
        </w:rPr>
      </w:pPr>
      <w:r>
        <w:rPr>
          <w:sz w:val="22"/>
        </w:rPr>
        <w:t>Greece</w:t>
      </w:r>
    </w:p>
    <w:p>
      <w:pPr>
        <w:pStyle w:val="Normal"/>
        <w:rPr>
          <w:sz w:val="22"/>
        </w:rPr>
      </w:pPr>
      <w:r>
        <w:rPr>
          <w:sz w:val="22"/>
        </w:rPr>
        <w:t>Hungary</w:t>
      </w:r>
    </w:p>
    <w:p>
      <w:pPr>
        <w:pStyle w:val="Normal"/>
        <w:rPr>
          <w:sz w:val="22"/>
        </w:rPr>
      </w:pPr>
      <w:r>
        <w:rPr>
          <w:sz w:val="22"/>
        </w:rPr>
        <w:t>Ireland</w:t>
      </w:r>
    </w:p>
    <w:p>
      <w:pPr>
        <w:pStyle w:val="Normal"/>
        <w:rPr>
          <w:sz w:val="22"/>
        </w:rPr>
      </w:pPr>
      <w:r>
        <w:rPr>
          <w:sz w:val="22"/>
        </w:rPr>
        <w:t>Italy</w:t>
      </w:r>
    </w:p>
    <w:p>
      <w:pPr>
        <w:pStyle w:val="Normal"/>
        <w:rPr>
          <w:sz w:val="22"/>
        </w:rPr>
      </w:pPr>
      <w:r>
        <w:rPr>
          <w:sz w:val="22"/>
        </w:rPr>
        <w:t>Latvia</w:t>
      </w:r>
    </w:p>
    <w:p>
      <w:pPr>
        <w:pStyle w:val="Normal"/>
        <w:rPr>
          <w:sz w:val="22"/>
        </w:rPr>
      </w:pPr>
      <w:r>
        <w:rPr>
          <w:sz w:val="22"/>
        </w:rPr>
        <w:t>Liechtenstein</w:t>
      </w:r>
    </w:p>
    <w:p>
      <w:pPr>
        <w:pStyle w:val="Normal"/>
        <w:rPr>
          <w:sz w:val="22"/>
        </w:rPr>
      </w:pPr>
      <w:r>
        <w:rPr>
          <w:sz w:val="22"/>
        </w:rPr>
        <w:t>Lithuania</w:t>
      </w:r>
    </w:p>
    <w:p>
      <w:pPr>
        <w:pStyle w:val="Normal"/>
        <w:rPr>
          <w:sz w:val="22"/>
        </w:rPr>
      </w:pPr>
      <w:r>
        <w:rPr>
          <w:sz w:val="22"/>
        </w:rPr>
        <w:t>Luxembourg</w:t>
      </w:r>
    </w:p>
    <w:p>
      <w:pPr>
        <w:pStyle w:val="Normal"/>
        <w:rPr>
          <w:sz w:val="22"/>
        </w:rPr>
      </w:pPr>
      <w:r>
        <w:rPr>
          <w:sz w:val="22"/>
        </w:rPr>
        <w:t>Netherlands</w:t>
      </w:r>
    </w:p>
    <w:p>
      <w:pPr>
        <w:pStyle w:val="Normal"/>
        <w:rPr>
          <w:sz w:val="22"/>
        </w:rPr>
      </w:pPr>
      <w:r>
        <w:rPr>
          <w:sz w:val="22"/>
        </w:rPr>
        <w:t>Norway</w:t>
      </w:r>
    </w:p>
    <w:p>
      <w:pPr>
        <w:pStyle w:val="Normal"/>
        <w:rPr>
          <w:sz w:val="22"/>
        </w:rPr>
      </w:pPr>
      <w:r>
        <w:rPr>
          <w:sz w:val="22"/>
        </w:rPr>
        <w:t>Poland</w:t>
      </w:r>
    </w:p>
    <w:p>
      <w:pPr>
        <w:pStyle w:val="Normal"/>
        <w:rPr>
          <w:sz w:val="22"/>
        </w:rPr>
      </w:pPr>
      <w:r>
        <w:rPr>
          <w:sz w:val="22"/>
        </w:rPr>
        <w:t>Portugal</w:t>
      </w:r>
    </w:p>
    <w:p>
      <w:pPr>
        <w:pStyle w:val="Normal"/>
        <w:rPr>
          <w:sz w:val="22"/>
        </w:rPr>
      </w:pPr>
      <w:r>
        <w:rPr>
          <w:sz w:val="22"/>
        </w:rPr>
        <w:t>Romania</w:t>
      </w:r>
    </w:p>
    <w:p>
      <w:pPr>
        <w:pStyle w:val="Normal"/>
        <w:rPr>
          <w:sz w:val="22"/>
        </w:rPr>
      </w:pPr>
      <w:r>
        <w:rPr>
          <w:sz w:val="22"/>
        </w:rPr>
        <w:t>Russia</w:t>
      </w:r>
    </w:p>
    <w:p>
      <w:pPr>
        <w:pStyle w:val="Normal"/>
        <w:rPr>
          <w:sz w:val="22"/>
        </w:rPr>
      </w:pPr>
      <w:r>
        <w:rPr>
          <w:sz w:val="22"/>
        </w:rPr>
        <w:t xml:space="preserve">Slovak Republic </w:t>
      </w:r>
    </w:p>
    <w:p>
      <w:pPr>
        <w:pStyle w:val="Normal"/>
        <w:rPr>
          <w:sz w:val="22"/>
        </w:rPr>
      </w:pPr>
      <w:r>
        <w:rPr>
          <w:sz w:val="22"/>
        </w:rPr>
        <w:t>Slovenia</w:t>
      </w:r>
    </w:p>
    <w:p>
      <w:pPr>
        <w:pStyle w:val="Normal"/>
        <w:rPr>
          <w:sz w:val="22"/>
        </w:rPr>
      </w:pPr>
      <w:r>
        <w:rPr>
          <w:sz w:val="22"/>
        </w:rPr>
        <w:t>South Africa</w:t>
      </w:r>
    </w:p>
    <w:p>
      <w:pPr>
        <w:pStyle w:val="Normal"/>
        <w:rPr>
          <w:sz w:val="22"/>
        </w:rPr>
      </w:pPr>
      <w:r>
        <w:rPr>
          <w:sz w:val="22"/>
        </w:rPr>
        <w:t>Spain</w:t>
      </w:r>
    </w:p>
    <w:p>
      <w:pPr>
        <w:pStyle w:val="Normal"/>
        <w:rPr>
          <w:sz w:val="22"/>
        </w:rPr>
      </w:pPr>
      <w:r>
        <w:rPr>
          <w:sz w:val="22"/>
        </w:rPr>
        <w:t>Sweden</w:t>
      </w:r>
    </w:p>
    <w:p>
      <w:pPr>
        <w:pStyle w:val="Normal"/>
        <w:rPr>
          <w:sz w:val="22"/>
        </w:rPr>
      </w:pPr>
      <w:r>
        <w:rPr>
          <w:sz w:val="22"/>
        </w:rPr>
        <w:t>Switzerland</w:t>
      </w:r>
    </w:p>
    <w:p>
      <w:pPr>
        <w:pStyle w:val="Normal"/>
        <w:rPr>
          <w:sz w:val="22"/>
        </w:rPr>
      </w:pPr>
      <w:r>
        <w:rPr>
          <w:sz w:val="22"/>
        </w:rPr>
        <w:t>Turkey</w:t>
      </w:r>
    </w:p>
    <w:p>
      <w:pPr>
        <w:pStyle w:val="Normal"/>
        <w:rPr>
          <w:sz w:val="22"/>
        </w:rPr>
      </w:pPr>
      <w:r>
        <w:rPr>
          <w:sz w:val="22"/>
        </w:rPr>
        <w:t>United Kingdom</w:t>
      </w:r>
    </w:p>
    <w:p>
      <w:pPr>
        <w:sectPr>
          <w:type w:val="continuous"/>
          <w:pgSz w:w="12240" w:h="15840"/>
          <w:pgMar w:left="1800" w:right="1800" w:gutter="0" w:header="720" w:top="1440" w:footer="720" w:bottom="1440"/>
          <w:cols w:num="4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shd w:fill="000000" w:val="clear"/>
        <w:jc w:val="center"/>
        <w:rPr>
          <w:b/>
        </w:rPr>
      </w:pPr>
      <w:r>
        <w:rPr>
          <w:b/>
        </w:rPr>
        <w:t xml:space="preserve">  </w:t>
      </w:r>
      <w:r>
        <w:rPr>
          <w:b/>
          <w:sz w:val="24"/>
        </w:rPr>
        <w:t xml:space="preserve">IMMEDIATE CONNECTION TO ON-LINE DIRECTORY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 xml:space="preserve">The on-line service is free to all users, which means that they can access the entire database on-line and benefit from daily updates to ensure the information provided is always the most accurate available in the markets today. 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 xml:space="preserve">As well as a sophisticated search engine, recruitment and news features the site will provide you with updated and new information - updated by our team of researchers every day.  </w:t>
      </w:r>
    </w:p>
    <w:sectPr>
      <w:type w:val="continuous"/>
      <w:pgSz w:w="12240" w:h="15840"/>
      <w:pgMar w:left="1560" w:right="1608" w:gutter="0" w:header="720" w:top="1440" w:footer="72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hd w:fill="000000" w:val="clear"/>
      <w:jc w:val="center"/>
      <w:rPr>
        <w:b/>
      </w:rPr>
    </w:pPr>
    <w:r>
      <w:rPr>
        <w:b/>
      </w:rPr>
      <w:t>TO ORDER CALL THE HOTTHE HOTLINE ON 44-171-779-8999, FAX 44-171-779-8300, OR E-MAIL hotline@euromoney.com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hd w:fill="000000" w:val="clear"/>
      <w:jc w:val="center"/>
      <w:rPr>
        <w:b/>
      </w:rPr>
    </w:pPr>
    <w:r>
      <w:rPr>
        <w:b/>
      </w:rPr>
      <w:t>EUROMONEY INSTITUTIONAL INVESTOR PLC: DIRECTORIES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2000-02-25T20:21:00Z</dcterms:created>
  <dc:creator>VOTA NÃO À REGIONALIZAÇÃO! SIM AO REFORÇO DO MUNICIPALISMO!</dc:creator>
  <dc:description>A REGIONALIZAÇÃO É UM ERRO COLOSSAL!</dc:description>
  <dc:language>en-CA</dc:language>
  <cp:lastModifiedBy>Institutional Investor</cp:lastModifiedBy>
  <cp:lastPrinted>2000-02-24T13:18:00Z</cp:lastPrinted>
  <dcterms:modified xsi:type="dcterms:W3CDTF">2000-02-25T20:21:00Z</dcterms:modified>
  <cp:revision>2</cp:revision>
  <dc:subject>JOÃO JARDIM x8?! PORRA! DIA 8 VOTA NÃO!</dc:subject>
  <dc:title>THE GLOBAL INVESTOR 1000</dc:title>
</cp:coreProperties>
</file>