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b/>
        </w:rPr>
      </w:pPr>
      <w:r>
        <w:rPr>
          <w:b/>
        </w:rPr>
        <w:t>Confidential, ttorney Client Privileged, Not Discoverable</w:t>
      </w:r>
    </w:p>
    <w:p>
      <w:pPr>
        <w:pStyle w:val="Heading1"/>
        <w:ind w:hanging="0" w:start="0"/>
        <w:jc w:val="end"/>
        <w:rPr>
          <w:b/>
          <w:sz w:val="22"/>
        </w:rPr>
      </w:pPr>
      <w:r>
        <w:rPr>
          <w:b/>
          <w:sz w:val="22"/>
        </w:rPr>
      </w:r>
    </w:p>
    <w:p>
      <w:pPr>
        <w:pStyle w:val="Heading1"/>
        <w:ind w:hanging="0" w:start="0"/>
        <w:jc w:val="end"/>
        <w:rPr>
          <w:b/>
          <w:sz w:val="22"/>
        </w:rPr>
      </w:pPr>
      <w:r>
        <w:rPr>
          <w:b/>
          <w:sz w:val="22"/>
        </w:rPr>
        <w:t>DAP May, 10, 2001</w:t>
      </w:r>
    </w:p>
    <w:p>
      <w:pPr>
        <w:pStyle w:val="Normal"/>
        <w:ind w:start="360" w:end="0"/>
        <w:rPr>
          <w:b/>
          <w:sz w:val="22"/>
        </w:rPr>
      </w:pPr>
      <w:r>
        <w:rPr>
          <w:b/>
          <w:sz w:val="22"/>
        </w:rPr>
      </w:r>
    </w:p>
    <w:p>
      <w:pPr>
        <w:pStyle w:val="Normal"/>
        <w:ind w:start="360" w:end="0"/>
        <w:rPr/>
      </w:pPr>
      <w:r>
        <w:rPr>
          <w:u w:val="single"/>
        </w:rPr>
        <w:t>Frontera FM Notice under EMSA and EEI MASTER</w:t>
      </w:r>
      <w:r>
        <w:rPr/>
        <w:t>:</w:t>
      </w:r>
    </w:p>
    <w:p>
      <w:pPr>
        <w:pStyle w:val="Normal"/>
        <w:rPr/>
      </w:pPr>
      <w:r>
        <w:rPr/>
      </w:r>
    </w:p>
    <w:p>
      <w:pPr>
        <w:pStyle w:val="Normal"/>
        <w:numPr>
          <w:ilvl w:val="0"/>
          <w:numId w:val="6"/>
        </w:numPr>
        <w:rPr/>
      </w:pPr>
      <w:r>
        <w:rPr/>
        <w:t xml:space="preserve">Written notice appears properly served under under “Notice” Energy Management Services Agreement (“EMSA”) Section 26 and Master Power Purchase and Sale Agreement dated as of April 01, 2001 (“EEI Master”) notice provision, Section 10.7. </w:t>
      </w:r>
    </w:p>
    <w:p>
      <w:pPr>
        <w:pStyle w:val="Normal"/>
        <w:numPr>
          <w:ilvl w:val="0"/>
          <w:numId w:val="6"/>
        </w:numPr>
        <w:rPr/>
      </w:pPr>
      <w:r>
        <w:rPr/>
        <w:t xml:space="preserve">Re consistency of notice with EMSA FM Section 14 (attached) : (i) appears properly served within time limit but (ii) does not recite elements of FM definition properly.  “Force Majeure Event” is currently defined in the Protocols as follows: “Any event </w:t>
      </w:r>
      <w:r>
        <w:rPr>
          <w:i/>
          <w:iCs/>
        </w:rPr>
        <w:t>beyond the reasonable control of, and that occurs without the fault or negligence of the Entity</w:t>
      </w:r>
      <w:r>
        <w:rPr/>
        <w:t xml:space="preserve"> whose performance is prevented by the occurrence of such event.  Examples of such a Force Majeure Event include, but are not limited, to: an act of God, labor disturbance, act of the public enemy, war, insurection, riot, fire, storm, or flood, explosion, breakage or accident to machinery or equipment, or a curtailment, order, regulation or restriction imposed by governmental, military, or lawfully established civilian authorities.” </w:t>
      </w:r>
    </w:p>
    <w:p>
      <w:pPr>
        <w:pStyle w:val="Normal"/>
        <w:numPr>
          <w:ilvl w:val="0"/>
          <w:numId w:val="6"/>
        </w:numPr>
        <w:rPr/>
      </w:pPr>
      <w:r>
        <w:rPr/>
        <w:t xml:space="preserve">Re consistency of notice with EEI FM Section 3.3 (attached): (i) appears properly served within “reasonably practicable time” but (ii) does not recite elements of FM definition properly. Section 1.23:  “Force Majeure” means an event or circumstance which prevents one Party from performing its obligations under one or more Transactions, which event or circumstance was not anticipated as of the date the Transaction was agreed to, </w:t>
      </w:r>
      <w:r>
        <w:rPr>
          <w:i/>
          <w:iCs/>
        </w:rPr>
        <w:t>which is not within the reasonable control of, or the result of the negligence of, the Claiming Party, and which, by the exercise of due diligence, the Claiming Party is unable to overcome or avoid or cause to be avoided.</w:t>
      </w:r>
    </w:p>
    <w:p>
      <w:pPr>
        <w:pStyle w:val="Normal"/>
        <w:numPr>
          <w:ilvl w:val="0"/>
          <w:numId w:val="6"/>
        </w:numPr>
        <w:rPr/>
      </w:pPr>
      <w:r>
        <w:rPr/>
        <w:t xml:space="preserve">Apparently Frontera elected not to give notice under Section 13 (attached) of  the Agreement for Sale and Purchsae of Electrical Energy and Capacity between the two parties dated October 25, 2000 (“C&amp;E Agreement”). </w:t>
      </w:r>
      <w:r>
        <w:rPr>
          <w:i/>
          <w:iCs/>
        </w:rPr>
        <w:t>Five Business Day deadline for notice has passed.</w:t>
      </w:r>
      <w:r>
        <w:rPr/>
        <w:t xml:space="preserve">  Notice does not conform to requisites of definition of Uncontrollable Forces stated in Setion 13(a).  </w:t>
      </w:r>
      <w:r>
        <w:rPr>
          <w:i/>
          <w:iCs/>
        </w:rPr>
        <w:t>EPMI should preserve rights under Capacity Charge reduction mechanism in C&amp;E Agreement Section 8(b) by calling on Energy every day.</w:t>
      </w:r>
    </w:p>
    <w:p>
      <w:pPr>
        <w:pStyle w:val="Normal"/>
        <w:numPr>
          <w:ilvl w:val="0"/>
          <w:numId w:val="6"/>
        </w:numPr>
        <w:rPr/>
      </w:pPr>
      <w:r>
        <w:rPr/>
        <w:t xml:space="preserve">Communication back to them: </w:t>
      </w:r>
    </w:p>
    <w:p>
      <w:pPr>
        <w:pStyle w:val="BodyTextIndent"/>
        <w:rPr/>
      </w:pPr>
      <w:r>
        <w:rPr/>
        <w:t xml:space="preserve">i. </w:t>
        <w:tab/>
        <w:t>Demand full particulars per rights under EMSA Section 14(a)</w:t>
      </w:r>
    </w:p>
    <w:p>
      <w:pPr>
        <w:pStyle w:val="Normal"/>
        <w:numPr>
          <w:ilvl w:val="1"/>
          <w:numId w:val="6"/>
        </w:numPr>
        <w:rPr/>
      </w:pPr>
      <w:r>
        <w:rPr/>
        <w:t>Demand information on all reasonable Frontera measures to mitigate per EMSA Section 14(b)</w:t>
      </w:r>
    </w:p>
    <w:p>
      <w:pPr>
        <w:pStyle w:val="Normal"/>
        <w:numPr>
          <w:ilvl w:val="1"/>
          <w:numId w:val="6"/>
        </w:numPr>
        <w:rPr/>
      </w:pPr>
      <w:r>
        <w:rPr/>
        <w:t>Remain aware of that under EMSA Section 14(c), where Parties are in good faith dispute whether F.M. has occurred, Frontera has burden of proving the existence of F.M.</w:t>
      </w:r>
    </w:p>
    <w:p>
      <w:pPr>
        <w:pStyle w:val="Normal"/>
        <w:rPr/>
      </w:pPr>
      <w:r>
        <w:rPr/>
      </w:r>
    </w:p>
    <w:p>
      <w:pPr>
        <w:pStyle w:val="Normal"/>
        <w:rPr/>
      </w:pPr>
      <w:r>
        <w:rPr/>
      </w:r>
      <w:r>
        <w:br w:type="page"/>
      </w:r>
    </w:p>
    <w:p>
      <w:pPr>
        <w:pStyle w:val="Normal"/>
        <w:rPr>
          <w:b/>
          <w:bCs/>
          <w:sz w:val="20"/>
          <w:u w:val="single"/>
        </w:rPr>
      </w:pPr>
      <w:r>
        <w:rPr>
          <w:b/>
          <w:bCs/>
          <w:sz w:val="20"/>
          <w:u w:val="single"/>
        </w:rPr>
        <w:t xml:space="preserve">APPENDIX:  </w:t>
      </w:r>
    </w:p>
    <w:p>
      <w:pPr>
        <w:pStyle w:val="Normal"/>
        <w:rPr>
          <w:b/>
          <w:bCs/>
          <w:sz w:val="20"/>
          <w:u w:val="single"/>
        </w:rPr>
      </w:pPr>
      <w:r>
        <w:rPr>
          <w:b/>
          <w:bCs/>
          <w:sz w:val="20"/>
          <w:u w:val="single"/>
        </w:rPr>
      </w:r>
    </w:p>
    <w:p>
      <w:pPr>
        <w:pStyle w:val="Normal"/>
        <w:rPr>
          <w:sz w:val="22"/>
        </w:rPr>
      </w:pPr>
      <w:r>
        <w:rPr>
          <w:b/>
          <w:bCs/>
          <w:sz w:val="20"/>
          <w:u w:val="single"/>
        </w:rPr>
        <w:t xml:space="preserve">SELECTED EEI TERMS </w:t>
      </w:r>
    </w:p>
    <w:p>
      <w:pPr>
        <w:pStyle w:val="Normal"/>
        <w:rPr>
          <w:sz w:val="22"/>
        </w:rPr>
      </w:pPr>
      <w:r>
        <w:rPr>
          <w:sz w:val="22"/>
        </w:rPr>
      </w:r>
    </w:p>
    <w:p>
      <w:pPr>
        <w:pStyle w:val="Normal"/>
        <w:rPr>
          <w:sz w:val="20"/>
        </w:rPr>
      </w:pPr>
      <w:r>
        <w:rPr>
          <w:sz w:val="20"/>
        </w:rPr>
        <w:t>Master Power Purchase and Sale Agreement dated as of April 01, 2001 (“Master Agreement”)</w:t>
      </w:r>
    </w:p>
    <w:p>
      <w:pPr>
        <w:pStyle w:val="Normal"/>
        <w:rPr>
          <w:sz w:val="20"/>
        </w:rPr>
      </w:pPr>
      <w:r>
        <w:rPr>
          <w:sz w:val="20"/>
        </w:rPr>
      </w:r>
    </w:p>
    <w:p>
      <w:pPr>
        <w:pStyle w:val="Normal"/>
        <w:rPr>
          <w:sz w:val="20"/>
        </w:rPr>
      </w:pPr>
      <w:r>
        <w:rPr>
          <w:sz w:val="20"/>
        </w:rPr>
        <w:t>Section 1.23:  “Force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w:t>
      </w:r>
      <w:r>
        <w:rPr>
          <w:b/>
          <w:bCs/>
          <w:sz w:val="20"/>
          <w:u w:val="single"/>
        </w:rPr>
        <w:t xml:space="preserve"> </w:t>
      </w:r>
    </w:p>
    <w:p>
      <w:pPr>
        <w:pStyle w:val="Normal"/>
        <w:rPr>
          <w:sz w:val="20"/>
        </w:rPr>
      </w:pPr>
      <w:r>
        <w:rPr>
          <w:sz w:val="20"/>
        </w:rPr>
      </w:r>
    </w:p>
    <w:p>
      <w:pPr>
        <w:pStyle w:val="Heading2"/>
        <w:rPr/>
      </w:pPr>
      <w:r>
        <w:rPr>
          <w:sz w:val="20"/>
          <w:u w:val="single"/>
        </w:rPr>
        <w:t>Section 3.3 Force Majeure</w:t>
      </w:r>
      <w:r>
        <w:rPr>
          <w:sz w:val="20"/>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Normal"/>
        <w:rPr>
          <w:sz w:val="20"/>
        </w:rPr>
      </w:pPr>
      <w:r>
        <w:rPr>
          <w:sz w:val="20"/>
        </w:rPr>
      </w:r>
    </w:p>
    <w:p>
      <w:pPr>
        <w:pStyle w:val="Normal"/>
        <w:rPr>
          <w:sz w:val="20"/>
        </w:rPr>
      </w:pPr>
      <w:r>
        <w:rPr>
          <w:b/>
          <w:bCs/>
          <w:sz w:val="20"/>
          <w:u w:val="single"/>
        </w:rPr>
        <w:t>SELECTED EMSA TERMS</w:t>
      </w:r>
    </w:p>
    <w:p>
      <w:pPr>
        <w:pStyle w:val="Normal"/>
        <w:rPr>
          <w:sz w:val="20"/>
        </w:rPr>
      </w:pPr>
      <w:r>
        <w:rPr>
          <w:sz w:val="20"/>
        </w:rPr>
      </w:r>
    </w:p>
    <w:p>
      <w:pPr>
        <w:pStyle w:val="Normal"/>
        <w:rPr>
          <w:sz w:val="20"/>
        </w:rPr>
      </w:pPr>
      <w:r>
        <w:rPr>
          <w:sz w:val="20"/>
        </w:rPr>
        <w:t>Energy Management Services Agreement dated as of April 10, 2001</w:t>
      </w:r>
    </w:p>
    <w:p>
      <w:pPr>
        <w:pStyle w:val="Normal"/>
        <w:rPr>
          <w:sz w:val="20"/>
        </w:rPr>
      </w:pPr>
      <w:r>
        <w:rPr>
          <w:sz w:val="20"/>
        </w:rPr>
      </w:r>
    </w:p>
    <w:p>
      <w:pPr>
        <w:pStyle w:val="Normal"/>
        <w:rPr>
          <w:sz w:val="20"/>
        </w:rPr>
      </w:pPr>
      <w:r>
        <w:rPr>
          <w:sz w:val="20"/>
        </w:rPr>
        <w:t xml:space="preserve">EMSA DEFINITIONS Section 1:  </w:t>
      </w:r>
    </w:p>
    <w:p>
      <w:pPr>
        <w:pStyle w:val="BodyText2"/>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
        <w:rPr>
          <w:sz w:val="20"/>
        </w:rPr>
      </w:pPr>
      <w:r>
        <w:rPr>
          <w:sz w:val="20"/>
        </w:rPr>
      </w:r>
    </w:p>
    <w:p>
      <w:pPr>
        <w:pStyle w:val="Normal"/>
        <w:rPr>
          <w:sz w:val="20"/>
        </w:rPr>
      </w:pPr>
      <w:r>
        <w:rPr>
          <w:sz w:val="20"/>
        </w:rPr>
        <w:t>“</w:t>
      </w:r>
      <w:r>
        <w:rPr>
          <w:sz w:val="20"/>
        </w:rPr>
        <w:t xml:space="preserve">Force Majeure Event” is currently defined in the Protocols as follows: “Any event beyond the reasonable control of, and that occurs without the fault or negligence of the Entity whose performance is prevented by the occurrence of such event.  Examples of such a Force Majeure Event include, but are not limited, to: an act of God, labor disturbance, act of the public enemy, war, insurection, riot, fire, storm, or flood, explosion, breakage or accident to machinery or equipment, or a curtailment, order, regulation or restriction imposed by governmental, military, or lawfully established civilian authorities.”  </w:t>
      </w:r>
    </w:p>
    <w:p>
      <w:pPr>
        <w:pStyle w:val="Normal"/>
        <w:rPr>
          <w:sz w:val="20"/>
        </w:rPr>
      </w:pPr>
      <w:r>
        <w:rPr>
          <w:sz w:val="20"/>
        </w:rPr>
      </w:r>
    </w:p>
    <w:p>
      <w:pPr>
        <w:pStyle w:val="Heading2"/>
        <w:widowControl/>
        <w:ind w:hanging="0" w:end="0"/>
        <w:rPr>
          <w:sz w:val="20"/>
        </w:rPr>
      </w:pPr>
      <w:r>
        <w:rPr>
          <w:sz w:val="20"/>
        </w:rPr>
        <w:t>“</w:t>
      </w:r>
      <w:r>
        <w:rPr>
          <w:sz w:val="20"/>
        </w:rPr>
        <w:t>Forced Outage” means the removal from service availability of a generating unit, transmission line or other facility for emergency reasons.</w:t>
      </w:r>
    </w:p>
    <w:p>
      <w:pPr>
        <w:pStyle w:val="Heading2"/>
        <w:widowControl/>
        <w:ind w:hanging="0" w:end="0"/>
        <w:rPr>
          <w:sz w:val="20"/>
          <w:szCs w:val="24"/>
        </w:rPr>
      </w:pPr>
      <w:r>
        <w:rPr>
          <w:sz w:val="20"/>
          <w:szCs w:val="24"/>
        </w:rPr>
        <w:t>"Costs” means, when applicable to any Transaction, all costs, liabilities, fees and expenses (reduced by any credits) incurred by either Frontera or EPMI (excluding EPMI's internal costs and allocated overhead) in connection with (a) the scheduling, transmission and delivery of Products, (b) the provision of QSE Services pursuant to Appendix A, and/or (c) Back-to-Back Transactions entered into between EPMI and third parties and EPMI Transactions. Costs shall include but not be limited to: (i) transmission and distribution wheeling, (ii) congestion costs, (iii) scheduling fees, (iv) ISO fees, (v) transmission and distribution losses, (vi) monthly data communication costs between the Facility and EPMI’s offices in Houston, Texas, (vii) the cost of Ancillary Services, (viii) control area services costs, (ix) inadvertent energy flow charges, (x) imbalance charges, (xi) ERCOT-imposed penalties; (xii) taxes (other than income taxes); (xiii) fees or charges imposed by the Federal Energy Regulatory Commission (FERC), ERCOT or other regulatory authorities; (xiv) broker fees and costs; (xv) Charge Reimbursements (as defined in Appendix A), (xvi) other costs incurred by EPMI in providing the QSE Services, (xvii) the cost of Products purchased by EPMI or Frontera to meet contractual commitments in any Back-to-Back Transaction, EPMI Transaction or other Structured Transaction, during periods in which it is more economical to purchase such Products than it is to operate the Facility and (xviii) the cost of replacement capacity or energy purchased by EPMI or Frontera if required to meet contractual commitments in any Back-to-Back Transaction, EPMI Transaction or other Structured Transaction due to a Forced Outage or other circumstances affecting the ability of the Facility to fulfill firm commitments (provided that the contractual commitments resulting in such costs were undertaken pursuant to the Frontera-approved Marketing Strategy). Costs do not include Existing Transaction Costs or Costs attributable to EPMI's gross negligence or willful and wanton misconduct in carrying out its duties as QSE or otherwise under this Agreement.</w:t>
      </w:r>
    </w:p>
    <w:p>
      <w:pPr>
        <w:pStyle w:val="Heading2"/>
        <w:widowControl/>
        <w:tabs>
          <w:tab w:val="clear" w:pos="1800"/>
          <w:tab w:val="left" w:pos="720" w:leader="none"/>
        </w:tabs>
        <w:ind w:hanging="0" w:end="0"/>
        <w:rPr>
          <w:sz w:val="20"/>
          <w:szCs w:val="24"/>
        </w:rPr>
      </w:pPr>
      <w:r>
        <w:rPr>
          <w:sz w:val="20"/>
          <w:szCs w:val="24"/>
        </w:rPr>
        <w:t>8.</w:t>
        <w:tab/>
        <w:t xml:space="preserve">PERFORMANCE STANDARDS APPLICABLE TO THE PARTIES  </w:t>
      </w:r>
    </w:p>
    <w:p>
      <w:pPr>
        <w:pStyle w:val="Heading2"/>
        <w:widowControl/>
        <w:tabs>
          <w:tab w:val="clear" w:pos="1800"/>
        </w:tabs>
        <w:ind w:hanging="0" w:end="0"/>
        <w:rPr>
          <w:sz w:val="20"/>
          <w:szCs w:val="24"/>
        </w:rPr>
      </w:pPr>
      <w:r>
        <w:rPr>
          <w:sz w:val="20"/>
          <w:szCs w:val="24"/>
        </w:rPr>
        <w:t>…</w:t>
      </w:r>
      <w:r>
        <w:rPr>
          <w:sz w:val="20"/>
          <w:szCs w:val="24"/>
        </w:rPr>
        <w:t>(b) The following standards shall apply to Frontera’s obligations under this Agreement:</w:t>
      </w:r>
    </w:p>
    <w:p>
      <w:pPr>
        <w:pStyle w:val="Heading2"/>
        <w:widowControl/>
        <w:numPr>
          <w:ilvl w:val="0"/>
          <w:numId w:val="4"/>
        </w:numPr>
        <w:tabs>
          <w:tab w:val="left" w:pos="1080" w:leader="none"/>
          <w:tab w:val="left" w:pos="1800" w:leader="none"/>
        </w:tabs>
        <w:ind w:firstLine="360" w:start="180" w:end="0"/>
        <w:rPr>
          <w:sz w:val="20"/>
          <w:szCs w:val="24"/>
        </w:rPr>
      </w:pPr>
      <w:r>
        <w:rPr>
          <w:sz w:val="20"/>
          <w:szCs w:val="24"/>
        </w:rPr>
        <w:t>Frontera shall maintain an “Availability Factor” of at least 90% during On-Peak hours.  Availability Factor shall be calculated on a rolling three (3) month average basis in accordance with the following formula:  (Maximum Availability)-Unavailable MWh’s (for reasons other than Force Majeure) during such period)/Maximum Availability.  For purposes of the foregoing calculation, (i) Maximum Availability shall mean the number of MWh’s possible in the three (3) month calculation period = Aggregate number of On-Peak hours during such period x 480 MW (capacity of the Facility adjusted for ambient conditions) and (ii) Unavailable MWh’s shall mean the number of MWh’s that the Facility was unavailable during On-Peak hours. The Parties expressly agree that the foregoing standard is not an assurance regarding actual availability of Products but rather a benchmark for Frontera’s performance under this Agreement (which if not satisfied will constitute an Event of Default under this Agreement and if not cured will afford EPMI with the ability to terminate this Agreement).</w:t>
      </w:r>
    </w:p>
    <w:p>
      <w:pPr>
        <w:pStyle w:val="Heading2"/>
        <w:widowControl/>
        <w:numPr>
          <w:ilvl w:val="0"/>
          <w:numId w:val="4"/>
        </w:numPr>
        <w:tabs>
          <w:tab w:val="left" w:pos="180" w:leader="none"/>
          <w:tab w:val="left" w:pos="1800" w:leader="none"/>
        </w:tabs>
        <w:ind w:firstLine="360" w:start="180" w:end="0"/>
        <w:rPr>
          <w:sz w:val="20"/>
          <w:szCs w:val="24"/>
        </w:rPr>
      </w:pPr>
      <w:r>
        <w:rPr>
          <w:sz w:val="20"/>
          <w:szCs w:val="24"/>
        </w:rPr>
        <w:t xml:space="preserve">In addition, Frontera shall act in a commercially reasonably manner in performing its obligations under this Agreement and shall be obligated to operate the Facility using Prudent Operating Practices.    </w:t>
      </w:r>
    </w:p>
    <w:p>
      <w:pPr>
        <w:pStyle w:val="Heading1"/>
        <w:ind w:hanging="0" w:start="0"/>
        <w:rPr>
          <w:szCs w:val="24"/>
          <w:u w:val="none"/>
        </w:rPr>
      </w:pPr>
      <w:r>
        <w:rPr>
          <w:szCs w:val="24"/>
          <w:u w:val="none"/>
        </w:rPr>
        <w:t>14.</w:t>
        <w:tab/>
        <w:t>FORCE MAJEURE</w:t>
      </w:r>
    </w:p>
    <w:p>
      <w:pPr>
        <w:pStyle w:val="Heading2"/>
        <w:widowControl/>
        <w:tabs>
          <w:tab w:val="clear" w:pos="1800"/>
        </w:tabs>
        <w:ind w:firstLine="720" w:end="0"/>
        <w:rPr>
          <w:sz w:val="20"/>
          <w:szCs w:val="24"/>
        </w:rPr>
      </w:pPr>
      <w:r>
        <w:rPr>
          <w:sz w:val="20"/>
          <w:szCs w:val="24"/>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sz w:val="20"/>
          <w:szCs w:val="24"/>
        </w:rPr>
      </w:pPr>
      <w:r>
        <w:rPr>
          <w:sz w:val="20"/>
          <w:szCs w:val="24"/>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numPr>
          <w:ilvl w:val="0"/>
          <w:numId w:val="2"/>
        </w:numPr>
        <w:tabs>
          <w:tab w:val="clear" w:pos="1800"/>
          <w:tab w:val="left" w:pos="0" w:leader="none"/>
        </w:tabs>
        <w:ind w:firstLine="720" w:start="0" w:end="0"/>
        <w:rPr>
          <w:sz w:val="20"/>
          <w:szCs w:val="24"/>
        </w:rPr>
      </w:pPr>
      <w:r>
        <w:rPr>
          <w:sz w:val="20"/>
          <w:szCs w:val="24"/>
        </w:rPr>
        <w:t>If the Parties are unable in good faith to agree that an event of Force Majeure has occurred, the Party claiming Force Majeure shall have the burden of proof with respect to such claim.</w:t>
      </w:r>
    </w:p>
    <w:p>
      <w:pPr>
        <w:pStyle w:val="Heading1"/>
        <w:ind w:hanging="0" w:start="0"/>
        <w:rPr>
          <w:szCs w:val="24"/>
          <w:u w:val="none"/>
        </w:rPr>
      </w:pPr>
      <w:r>
        <w:rPr>
          <w:szCs w:val="24"/>
          <w:u w:val="none"/>
        </w:rPr>
        <w:t>16.</w:t>
        <w:tab/>
        <w:t>PAYMENTS AND FEES</w:t>
      </w:r>
    </w:p>
    <w:p>
      <w:pPr>
        <w:pStyle w:val="Normal"/>
        <w:rPr>
          <w:szCs w:val="24"/>
          <w:u w:val="none"/>
        </w:rPr>
      </w:pPr>
      <w:r>
        <w:rPr>
          <w:szCs w:val="24"/>
          <w:u w:val="none"/>
        </w:rPr>
      </w:r>
    </w:p>
    <w:p>
      <w:pPr>
        <w:pStyle w:val="Heading2"/>
        <w:widowControl/>
        <w:numPr>
          <w:ilvl w:val="0"/>
          <w:numId w:val="3"/>
        </w:numPr>
        <w:tabs>
          <w:tab w:val="clear" w:pos="1800"/>
          <w:tab w:val="left" w:pos="0" w:leader="none"/>
        </w:tabs>
        <w:ind w:firstLine="720" w:start="0" w:end="0"/>
        <w:rPr>
          <w:sz w:val="20"/>
          <w:szCs w:val="24"/>
        </w:rPr>
      </w:pPr>
      <w:r>
        <w:rPr>
          <w:sz w:val="20"/>
          <w:szCs w:val="24"/>
        </w:rPr>
        <w:t>From the Market Proceeds, EPMI shall make payment for all applicable Costs and Existing Transaction Costs to the extent that (i) EPMI has actual knowledge of such Costs and Existing Transaction Costs (in the event that EPMI does not incur the Costs and Existing Transaction Costs) and (ii) the Market Proceeds are sufficient to cover such Costs and Existing Transaction Costs.  EPMI shall submit to Frontera, unless otherwise agreed by the Parties, on or before the tenth (10th) day of each calendar month, a statement detailing the Market Proceeds and all applicable Costs and Existing Transaction Costs for the preceding month.  To the extent not remitted under the MPPSA, EPMI shall remit the Market Proceeds, less (x) any and all fees due EPMI pursuant to the terms of this Agreement and (y) all Costs and Existing Transaction Costs paid or to be paid by EPMI, by wire transfer on the 20th day of each calendar month (Payment Date), pursuant to instructions for such wire transfer provided by Frontera.  In the event that the Market Proceeds are insufficient to cover the Costs and the Existing Transaction Costs otherwise payable by EPMI, Frontera shall (within two (2) Business Days) following receipt of a written invoice from EPMI, remit to EPMI the amount of funds necessary to make full payment of the Costs and Existing Transaction Costs.  For avoidance of doubt, Frontera shall ultimately be responsible for all Costs and the Existing Transaction Costs and shall be obligated to reimburse EPMI for any Costs and Existing Transaction Costs which it incurs or otherwise pays.</w:t>
      </w:r>
    </w:p>
    <w:p>
      <w:pPr>
        <w:pStyle w:val="Heading1"/>
        <w:ind w:hanging="0" w:start="0"/>
        <w:rPr>
          <w:szCs w:val="24"/>
          <w:u w:val="none"/>
        </w:rPr>
      </w:pPr>
      <w:r>
        <w:rPr>
          <w:szCs w:val="24"/>
          <w:u w:val="none"/>
        </w:rPr>
        <w:t>17.</w:t>
        <w:tab/>
        <w:t>DEFAULT AND REMEDIES UPON DEFAULT</w:t>
      </w:r>
    </w:p>
    <w:p>
      <w:pPr>
        <w:pStyle w:val="Heading2"/>
        <w:widowControl/>
        <w:tabs>
          <w:tab w:val="clear" w:pos="1800"/>
        </w:tabs>
        <w:ind w:firstLine="720" w:end="0"/>
        <w:rPr>
          <w:sz w:val="20"/>
          <w:szCs w:val="24"/>
        </w:rPr>
      </w:pPr>
      <w:r>
        <w:rPr>
          <w:sz w:val="20"/>
          <w:szCs w:val="24"/>
        </w:rPr>
        <w:t>(a)</w:t>
        <w:tab/>
        <w:t xml:space="preserve">Each of the following shall constitute an Event of Default under this Agreement: </w:t>
      </w:r>
    </w:p>
    <w:p>
      <w:pPr>
        <w:pStyle w:val="Heading2"/>
        <w:widowControl/>
        <w:tabs>
          <w:tab w:val="clear" w:pos="1800"/>
        </w:tabs>
        <w:ind w:firstLine="720" w:start="720" w:end="0"/>
        <w:rPr/>
      </w:pPr>
      <w:r>
        <w:rPr>
          <w:sz w:val="20"/>
          <w:szCs w:val="24"/>
        </w:rPr>
        <w:t>(1)</w:t>
        <w:tab/>
        <w:t>The failure of either Party to make any payment or perform any obligation as required under this Agreement, including the adherence to the Marketing Strategy, Trading and Risk Policy, or Fuel Management Plan.  Event of Default shall not include a delay in payment that is subject to a Dispute under Section</w:t>
      </w:r>
      <w:r>
        <w:rPr>
          <w:sz w:val="20"/>
        </w:rPr>
        <w:t xml:space="preserve"> 21;</w:t>
      </w:r>
    </w:p>
    <w:p>
      <w:pPr>
        <w:pStyle w:val="Heading2"/>
        <w:widowControl/>
        <w:tabs>
          <w:tab w:val="clear" w:pos="1800"/>
        </w:tabs>
        <w:ind w:firstLine="720" w:start="720" w:end="0"/>
        <w:rPr>
          <w:sz w:val="20"/>
        </w:rPr>
      </w:pPr>
      <w:r>
        <w:rPr>
          <w:sz w:val="20"/>
        </w:rPr>
        <w:t>(2)</w:t>
        <w:tab/>
        <w:t>[Intentionally Deleted]</w:t>
      </w:r>
    </w:p>
    <w:p>
      <w:pPr>
        <w:pStyle w:val="Heading2"/>
        <w:widowControl/>
        <w:tabs>
          <w:tab w:val="clear" w:pos="1800"/>
        </w:tabs>
        <w:ind w:firstLine="720" w:start="720" w:end="0"/>
        <w:rPr>
          <w:sz w:val="20"/>
        </w:rPr>
      </w:pPr>
      <w:r>
        <w:rPr>
          <w:sz w:val="20"/>
        </w:rPr>
        <w:t>(3)</w:t>
        <w:tab/>
        <w:t>EPMI or Frontera fails to meet the performance standards set forth in Section 8;</w:t>
      </w:r>
    </w:p>
    <w:p>
      <w:pPr>
        <w:pStyle w:val="Heading2"/>
        <w:widowControl/>
        <w:tabs>
          <w:tab w:val="clear" w:pos="1800"/>
          <w:tab w:val="left" w:pos="0" w:leader="none"/>
        </w:tabs>
        <w:ind w:hanging="0" w:end="0"/>
        <w:rPr>
          <w:b/>
          <w:bCs/>
          <w:sz w:val="20"/>
          <w:szCs w:val="24"/>
        </w:rPr>
      </w:pPr>
      <w:r>
        <w:rPr>
          <w:b/>
          <w:bCs/>
          <w:sz w:val="20"/>
          <w:szCs w:val="24"/>
        </w:rPr>
        <w:t>SELECTED C&amp;E AGREEMENT TERMS:</w:t>
      </w:r>
    </w:p>
    <w:p>
      <w:pPr>
        <w:pStyle w:val="Heading2"/>
        <w:widowControl/>
        <w:ind w:hanging="0" w:end="0"/>
        <w:rPr>
          <w:sz w:val="20"/>
        </w:rPr>
      </w:pPr>
      <w:r>
        <w:rPr>
          <w:sz w:val="20"/>
        </w:rPr>
        <w:t>Agreement for Sale and Purchase of Electrical Capacity and Energy (the “Agreement”), effective October 25, 2000</w:t>
      </w:r>
      <w:r>
        <w:rPr/>
        <w:t>:</w:t>
      </w:r>
    </w:p>
    <w:p>
      <w:pPr>
        <w:pStyle w:val="Normal"/>
        <w:ind w:start="720" w:end="0"/>
        <w:rPr/>
      </w:pPr>
      <w:r>
        <w:rPr>
          <w:sz w:val="20"/>
        </w:rPr>
        <w:t>13.</w:t>
        <w:tab/>
      </w:r>
      <w:r>
        <w:rPr>
          <w:sz w:val="20"/>
          <w:u w:val="single"/>
        </w:rPr>
        <w:t>Uncontrollable Forces</w:t>
      </w:r>
      <w:r>
        <w:rPr>
          <w:sz w:val="20"/>
        </w:rPr>
        <w:t>.</w:t>
      </w:r>
    </w:p>
    <w:p>
      <w:pPr>
        <w:pStyle w:val="BodyTextInden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Rule="auto" w:line="240"/>
        <w:ind w:firstLine="720" w:end="0"/>
        <w:rPr>
          <w:sz w:val="20"/>
        </w:rPr>
      </w:pPr>
      <w:r>
        <w:rPr>
          <w:sz w:val="20"/>
        </w:rPr>
      </w:r>
    </w:p>
    <w:p>
      <w:pPr>
        <w:pStyle w:val="BodyTextInden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Rule="auto" w:line="240"/>
        <w:ind w:firstLine="720" w:start="720" w:end="0"/>
        <w:rPr>
          <w:sz w:val="20"/>
        </w:rPr>
      </w:pPr>
      <w:r>
        <w:rPr>
          <w:sz w:val="20"/>
        </w:rPr>
        <w:t>(a)</w:t>
        <w:tab/>
        <w:t>Neither Party shall be liable to the other Party for any failure to perform any provision or obligation under this Agreement (other than the Parties’ obligations to make payments then due or becoming due with respect to performance prior to the Uncontrollable Forces, and pursuant to Section 8 hereof) if such failure is caused by or results directly or indirectly from any event or circumstance which prevents one Party (the "Claiming Party") from performing its obligations hereunder, which event or circumstance was not anticipated as of the date this Agreement was entered into, which is not within the reasonable control of, or the result of the negligence of, the Claiming Party, and which, by the exercise of due diligence, the Claiming Party is unable to overcome or avoid or cause to be avoided (hereinafter referred to as “Uncontrollable Forces”). One or more of the following may be of such nature as to meet the foregoing definition of an Uncontrollable Force: fires, floods, storms, or other Acts of God; strikes, war, or accidents; ERCOT ISO Directives, failure or curtailment of the electrical or natural gas transportation facilities to or from Seller’s Facility or gas supply to or from Seller’s Facility, or other necessary facilities; or any similar cause beyond the reasonable control of the party failing to perform.  No Party shall, however, be relieved of liability for failure of performance if such failure is due to removable or remediable causes, that such Party fails to remove or remedy using commercially reasonable efforts within a reasonable time period.  The Claiming Party must provide prompt written or oral notice to the other and shall further provide written notice of the particulars of the event or occurrence within five (5) Business Days of such occurrence.  Nothing herein shall require either Party to settle a strike on unsatisfactory terms or consent to the demands of striking workers.</w:t>
      </w:r>
    </w:p>
    <w:p>
      <w:pPr>
        <w:pStyle w:val="BodyTextInden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Rule="auto" w:line="240"/>
        <w:ind w:firstLine="720" w:start="720" w:end="0"/>
        <w:rPr>
          <w:sz w:val="20"/>
        </w:rPr>
      </w:pPr>
      <w:r>
        <w:rPr>
          <w:sz w:val="20"/>
        </w:rPr>
      </w:r>
    </w:p>
    <w:p>
      <w:pPr>
        <w:pStyle w:val="BodyTextInden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Rule="auto" w:line="240"/>
        <w:ind w:firstLine="720" w:start="720" w:end="0"/>
        <w:rPr>
          <w:sz w:val="20"/>
        </w:rPr>
      </w:pPr>
      <w:r>
        <w:rPr>
          <w:sz w:val="20"/>
        </w:rPr>
        <w:t>(b)</w:t>
        <w:tab/>
        <w:t>In addition, if the Claiming Party fails to perform due to an Uncontrollable Force for a period of sixty (60) or more consecutive Days, then the other Party shall have the right at anytime thereafter (but before performance has begun again) to terminate this Agreement upon ten (10) Days written notice to the Claiming Party.  Such termination shall not give rise to any claims, demands or causes of action of any nature other than those set forth in Section 8.</w:t>
      </w:r>
    </w:p>
    <w:p>
      <w:pPr>
        <w:pStyle w:val="BodyText2"/>
        <w:ind w:firstLine="720" w:start="720" w:end="0"/>
        <w:rPr>
          <w:sz w:val="20"/>
        </w:rPr>
      </w:pPr>
      <w:r>
        <w:rPr>
          <w:sz w:val="20"/>
        </w:rPr>
      </w:r>
    </w:p>
    <w:p>
      <w:pPr>
        <w:pStyle w:val="BodyText2"/>
        <w:rPr/>
      </w:pPr>
      <w:r>
        <w:rPr/>
        <w:t>Section 8(b)</w:t>
        <w:tab/>
      </w:r>
      <w:r>
        <w:rPr>
          <w:u w:val="single"/>
        </w:rPr>
        <w:t>Actual Availability</w:t>
      </w:r>
      <w:r>
        <w:rPr/>
        <w:t>.  The Capacity Charge adjustment is to be calculated for each respective month based upon the Actual Availability of the Seller’s Facility being no less than ninety percent (90%) for the 1</w:t>
      </w:r>
      <w:r>
        <w:rPr>
          <w:vertAlign w:val="superscript"/>
        </w:rPr>
        <w:t>st</w:t>
      </w:r>
      <w:r>
        <w:rPr/>
        <w:t xml:space="preserve"> and  2</w:t>
      </w:r>
      <w:r>
        <w:rPr>
          <w:vertAlign w:val="superscript"/>
        </w:rPr>
        <w:t xml:space="preserve">nd </w:t>
      </w:r>
      <w:r>
        <w:rPr/>
        <w:t>Seasons and no less than ninety-five percent (95%) during the 3</w:t>
      </w:r>
      <w:r>
        <w:rPr>
          <w:vertAlign w:val="superscript"/>
        </w:rPr>
        <w:t>rd</w:t>
      </w:r>
      <w:r>
        <w:rPr/>
        <w:t xml:space="preserve"> Season.  If during the applicable Season the Seller's Facility fails to achieve such respective levels of availability, an adjustment to the Capacity Charge will be made to the Season, calculated as follows:</w:t>
      </w:r>
    </w:p>
    <w:p>
      <w:pPr>
        <w:pStyle w:val="BodyText2"/>
        <w:rPr/>
      </w:pPr>
      <w:r>
        <w:rPr/>
      </w:r>
    </w:p>
    <w:p>
      <w:pPr>
        <w:pStyle w:val="BodyText2"/>
        <w:ind w:firstLine="720" w:start="720" w:end="0"/>
        <w:rPr/>
      </w:pPr>
      <w:r>
        <w:rPr/>
        <w:t xml:space="preserve">(1) </w:t>
        <w:tab/>
        <w:t>For each Season, “Actual Availability” shall be equal to (i) the sum of  (A) the Available Energy received by Buyer during such Season, plus (B) the Replacement Energy received by Buyer during such Season, plus (C) Available Energy and Replacement Energy scheduled, but not received by Buyer due to Uncontrollable Forces affecting Buyer or for any reason attributable to Buyer for such Season, plus (D) the sum of the Contract Capacity Quantity for all the On-Peak Availability Hours for such Season that Buyer did not timely exercise its call option, plus (E) the sum of the Available Energy for such Season that Buyer did not timely schedule after properly exercising its call option, plus (F) the sum of the Available Energy supplied pursuant to ERCOT ISO directives that otherwise would have been delivered to Buyer, plus (G) the sum of all megawatthours that liquidated damages were paid by Seller pursuant to Section 14 for non-delivery of Available Energy; divided by (ii) the Contract Capacity Quantity multiplied by all of the On-Peak Availability Hours in such Season, expressed as a percentage.</w:t>
      </w:r>
    </w:p>
    <w:p>
      <w:pPr>
        <w:pStyle w:val="BodyText2"/>
        <w:ind w:firstLine="720" w:start="720" w:end="0"/>
        <w:rPr/>
      </w:pPr>
      <w:r>
        <w:rPr/>
      </w:r>
    </w:p>
    <w:p>
      <w:pPr>
        <w:pStyle w:val="BodyText2"/>
        <w:numPr>
          <w:ilvl w:val="0"/>
          <w:numId w:val="5"/>
        </w:numPr>
        <w:ind w:firstLine="720" w:start="720" w:end="0"/>
        <w:rPr/>
      </w:pPr>
      <w:r>
        <w:rPr/>
        <w:t>If Actual Availability is less than 90% for the  1</w:t>
      </w:r>
      <w:r>
        <w:rPr>
          <w:vertAlign w:val="superscript"/>
        </w:rPr>
        <w:t>st</w:t>
      </w:r>
      <w:r>
        <w:rPr/>
        <w:t xml:space="preserve"> or 2</w:t>
      </w:r>
      <w:r>
        <w:rPr>
          <w:vertAlign w:val="superscript"/>
        </w:rPr>
        <w:t xml:space="preserve">nd </w:t>
      </w:r>
      <w:r>
        <w:rPr/>
        <w:t>Seasons or 95% for the  3</w:t>
      </w:r>
      <w:r>
        <w:rPr>
          <w:vertAlign w:val="superscript"/>
        </w:rPr>
        <w:t>rd</w:t>
      </w:r>
      <w:r>
        <w:rPr/>
        <w:t xml:space="preserve"> Season, the sum of the Capacity Charges within the applicable Season will be reduced by the capacity charge adjustment for such Season to be calculated as  (i) the positive difference, if any, of (A) 90% or 95%, as applicable for such Season, minus (B) the Actual Availability for such Season, multiplied by (ii) the product  of the Contract Capacity and the On-Peak Availability Hours pertaining to such Season, multiplied by (iii) the Capacity Adjustment Rate (in $/MWh) as set forth on the Confirmation.  An example of the Actual Availability and capacity charge reduction calculations may be attached by the Parties as an exhibit to this Agreement, which shall form a part of this Agreement only if initialed by both Parties hereto. </w:t>
      </w:r>
    </w:p>
    <w:p>
      <w:pPr>
        <w:pStyle w:val="BodyText2"/>
        <w:ind w:firstLine="720" w:start="720" w:end="0"/>
        <w:rPr/>
      </w:pPr>
      <w:r>
        <w:rPr/>
      </w:r>
    </w:p>
    <w:p>
      <w:pPr>
        <w:pStyle w:val="BodyText2"/>
        <w:ind w:firstLine="720" w:start="720" w:end="0"/>
        <w:rPr/>
      </w:pPr>
      <w:r>
        <w:rPr/>
        <w:t>In no event shall the reduction as to any Season exceed 100% of the sum of the Capacity Charges within such Season.</w:t>
      </w:r>
    </w:p>
    <w:p>
      <w:pPr>
        <w:pStyle w:val="Heading2"/>
        <w:widowControl/>
        <w:spacing w:before="0" w:after="240"/>
        <w:ind w:firstLine="720" w:start="720" w:end="0"/>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2160"/>
        </w:tabs>
        <w:ind w:start="2160" w:hanging="1440"/>
      </w:pPr>
      <w:rPr/>
    </w:lvl>
  </w:abstractNum>
  <w:abstractNum w:abstractNumId="3">
    <w:lvl w:ilvl="0">
      <w:start w:val="1"/>
      <w:numFmt w:val="lowerLetter"/>
      <w:lvlText w:val="(%1)"/>
      <w:lvlJc w:val="start"/>
      <w:pPr>
        <w:tabs>
          <w:tab w:val="num" w:pos="2160"/>
        </w:tabs>
        <w:ind w:start="2160" w:hanging="1440"/>
      </w:pPr>
      <w:rPr/>
    </w:lvl>
  </w:abstractNum>
  <w:abstractNum w:abstractNumId="4">
    <w:lvl w:ilvl="0">
      <w:start w:val="1"/>
      <w:numFmt w:val="decimal"/>
      <w:lvlText w:val="(%1)"/>
      <w:lvlJc w:val="start"/>
      <w:pPr>
        <w:tabs>
          <w:tab w:val="num" w:pos="2880"/>
        </w:tabs>
        <w:ind w:start="2880" w:hanging="1440"/>
      </w:pPr>
      <w:rPr/>
    </w:lvl>
  </w:abstractNum>
  <w:abstractNum w:abstractNumId="5">
    <w:lvl w:ilvl="0">
      <w:start w:val="2"/>
      <w:numFmt w:val="decimal"/>
      <w:lvlText w:val="(%1)"/>
      <w:lvlJc w:val="start"/>
      <w:pPr>
        <w:tabs>
          <w:tab w:val="num" w:pos="2880"/>
        </w:tabs>
        <w:ind w:start="2880" w:hanging="720"/>
      </w:pPr>
      <w:rPr/>
    </w:lvl>
  </w:abstractNum>
  <w:abstractNum w:abstractNumId="6">
    <w:lvl w:ilvl="0">
      <w:start w:val="1"/>
      <w:numFmt w:val="decimal"/>
      <w:lvlText w:val="%1."/>
      <w:lvlJc w:val="start"/>
      <w:pPr>
        <w:tabs>
          <w:tab w:val="num" w:pos="720"/>
        </w:tabs>
        <w:ind w:start="720" w:hanging="360"/>
      </w:pPr>
      <w:rPr/>
    </w:lvl>
    <w:lvl w:ilvl="1">
      <w:start w:val="2"/>
      <w:numFmt w:val="lowerRoman"/>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0"/>
      <w:szCs w:val="20"/>
      <w:u w:val="single"/>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Times New Roman" w:hAnsi="Times New Roman" w:cs="Times New Roman"/>
      <w:b/>
      <w:i w:val="false"/>
      <w:caps/>
      <w:sz w:val="24"/>
    </w:rPr>
  </w:style>
  <w:style w:type="character" w:styleId="WW8Num7z1">
    <w:name w:val="WW8Num7z1"/>
    <w:qFormat/>
    <w:rPr>
      <w:rFonts w:ascii="Times New Roman" w:hAnsi="Times New Roman" w:cs="Times New Roman"/>
      <w:b w:val="false"/>
      <w:i w:val="false"/>
      <w:sz w:val="24"/>
      <w:u w:val="none"/>
    </w:rPr>
  </w:style>
  <w:style w:type="character" w:styleId="WW8Num7z2">
    <w:name w:val="WW8Num7z2"/>
    <w:qFormat/>
    <w:rPr>
      <w:rFonts w:ascii="Times New Roman" w:hAnsi="Times New Roman" w:cs="Times New Roman"/>
      <w:b w:val="false"/>
      <w:i w:val="false"/>
      <w:sz w:val="24"/>
    </w:rPr>
  </w:style>
  <w:style w:type="character" w:styleId="WW8Num7z5">
    <w:name w:val="WW8Num7z5"/>
    <w:qFormat/>
    <w:rPr>
      <w:rFonts w:ascii="Times New Roman" w:hAnsi="Times New Roman" w:cs="Times New Roman"/>
      <w:b/>
      <w:i w:val="false"/>
      <w:sz w:val="24"/>
      <w:u w:val="none"/>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BodyTextIndent">
    <w:name w:val="Body Text Indent"/>
    <w:basedOn w:val="Normal"/>
    <w:pPr>
      <w:ind w:hanging="720" w:start="1800" w:end="0"/>
    </w:pPr>
    <w:rPr/>
  </w:style>
  <w:style w:type="paragraph" w:styleId="BodyText2">
    <w:name w:val="Body Text 2"/>
    <w:basedOn w:val="Normal"/>
    <w:qFormat/>
    <w:pPr/>
    <w:rPr>
      <w:sz w:val="20"/>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spacing w:lineRule="atLeast" w:line="480"/>
      <w:ind w:firstLine="1440" w:start="0" w:end="0"/>
      <w:jc w:val="both"/>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2001-05-09T17:01:00Z</dcterms:created>
  <dc:creator>dportz</dc:creator>
  <dc:description/>
  <dc:language>en-CA</dc:language>
  <cp:lastModifiedBy>dportz</cp:lastModifiedBy>
  <cp:lastPrinted>2001-05-10T17:47:00Z</cp:lastPrinted>
  <dcterms:modified xsi:type="dcterms:W3CDTF">2001-05-10T20:35:00Z</dcterms:modified>
  <cp:revision>45</cp:revision>
  <dc:subject/>
  <dc:title>1</dc:title>
</cp:coreProperties>
</file>