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6"/>
        </w:rPr>
      </w:pPr>
      <w:r>
        <w:rPr>
          <w:b/>
          <w:sz w:val="26"/>
        </w:rPr>
        <w:t>Contents:</w:t>
      </w:r>
    </w:p>
    <w:p>
      <w:pPr>
        <w:pStyle w:val="Normal"/>
        <w:rPr>
          <w:b/>
          <w:sz w:val="26"/>
        </w:rPr>
      </w:pPr>
      <w:r>
        <w:rPr>
          <w:b/>
          <w:sz w:val="26"/>
        </w:rPr>
      </w:r>
    </w:p>
    <w:p>
      <w:pPr>
        <w:pStyle w:val="Normal"/>
        <w:rPr>
          <w:b/>
          <w:sz w:val="26"/>
        </w:rPr>
      </w:pPr>
      <w:r>
        <w:rPr>
          <w:b/>
          <w:sz w:val="26"/>
        </w:rPr>
        <w:t>Monthly Reports (May through December) covering:</w:t>
      </w:r>
    </w:p>
    <w:p>
      <w:pPr>
        <w:pStyle w:val="Normal"/>
        <w:numPr>
          <w:ilvl w:val="0"/>
          <w:numId w:val="5"/>
        </w:numPr>
        <w:tabs>
          <w:tab w:val="clear" w:pos="720"/>
          <w:tab w:val="left" w:pos="1080" w:leader="none"/>
        </w:tabs>
        <w:ind w:hanging="360" w:start="1080" w:end="0"/>
        <w:rPr>
          <w:b/>
          <w:sz w:val="26"/>
        </w:rPr>
      </w:pPr>
      <w:r>
        <w:rPr>
          <w:b/>
          <w:sz w:val="26"/>
        </w:rPr>
        <w:t>Inventory Levels</w:t>
      </w:r>
    </w:p>
    <w:p>
      <w:pPr>
        <w:pStyle w:val="Normal"/>
        <w:numPr>
          <w:ilvl w:val="0"/>
          <w:numId w:val="5"/>
        </w:numPr>
        <w:tabs>
          <w:tab w:val="clear" w:pos="720"/>
          <w:tab w:val="left" w:pos="1440" w:leader="none"/>
        </w:tabs>
        <w:ind w:hanging="360" w:start="1440" w:end="0"/>
        <w:rPr>
          <w:b/>
          <w:sz w:val="26"/>
        </w:rPr>
      </w:pPr>
      <w:r>
        <w:rPr>
          <w:b/>
          <w:sz w:val="26"/>
        </w:rPr>
        <w:t>Month to date based on actual consumption</w:t>
      </w:r>
    </w:p>
    <w:p>
      <w:pPr>
        <w:pStyle w:val="Normal"/>
        <w:numPr>
          <w:ilvl w:val="0"/>
          <w:numId w:val="5"/>
        </w:numPr>
        <w:tabs>
          <w:tab w:val="clear" w:pos="720"/>
          <w:tab w:val="left" w:pos="1440" w:leader="none"/>
        </w:tabs>
        <w:ind w:hanging="360" w:start="1440" w:end="0"/>
        <w:rPr>
          <w:b/>
          <w:sz w:val="26"/>
        </w:rPr>
      </w:pPr>
      <w:r>
        <w:rPr>
          <w:b/>
          <w:sz w:val="26"/>
        </w:rPr>
        <w:t>Projected daily based on estimated consumption</w:t>
      </w:r>
    </w:p>
    <w:p>
      <w:pPr>
        <w:pStyle w:val="Normal"/>
        <w:numPr>
          <w:ilvl w:val="0"/>
          <w:numId w:val="5"/>
        </w:numPr>
        <w:tabs>
          <w:tab w:val="clear" w:pos="720"/>
          <w:tab w:val="left" w:pos="1440" w:leader="none"/>
        </w:tabs>
        <w:ind w:hanging="360" w:start="1440" w:end="0"/>
        <w:rPr>
          <w:b/>
          <w:sz w:val="26"/>
        </w:rPr>
      </w:pPr>
      <w:r>
        <w:rPr>
          <w:b/>
          <w:sz w:val="26"/>
        </w:rPr>
        <w:t>Average monthly inventory</w:t>
      </w:r>
    </w:p>
    <w:p>
      <w:pPr>
        <w:pStyle w:val="Normal"/>
        <w:numPr>
          <w:ilvl w:val="0"/>
          <w:numId w:val="5"/>
        </w:numPr>
        <w:tabs>
          <w:tab w:val="clear" w:pos="720"/>
          <w:tab w:val="left" w:pos="1800" w:leader="none"/>
        </w:tabs>
        <w:ind w:hanging="360" w:start="1800" w:end="0"/>
        <w:rPr>
          <w:b/>
          <w:sz w:val="26"/>
        </w:rPr>
      </w:pPr>
      <w:r>
        <w:rPr>
          <w:b/>
          <w:sz w:val="26"/>
        </w:rPr>
        <w:t>Actual</w:t>
      </w:r>
    </w:p>
    <w:p>
      <w:pPr>
        <w:pStyle w:val="Normal"/>
        <w:numPr>
          <w:ilvl w:val="0"/>
          <w:numId w:val="5"/>
        </w:numPr>
        <w:tabs>
          <w:tab w:val="clear" w:pos="720"/>
          <w:tab w:val="left" w:pos="1800" w:leader="none"/>
        </w:tabs>
        <w:ind w:hanging="360" w:start="1800" w:end="0"/>
        <w:rPr>
          <w:b/>
          <w:sz w:val="26"/>
        </w:rPr>
      </w:pPr>
      <w:r>
        <w:rPr>
          <w:b/>
          <w:sz w:val="26"/>
        </w:rPr>
        <w:t>Estimated</w:t>
      </w:r>
    </w:p>
    <w:p>
      <w:pPr>
        <w:pStyle w:val="Normal"/>
        <w:numPr>
          <w:ilvl w:val="0"/>
          <w:numId w:val="5"/>
        </w:numPr>
        <w:tabs>
          <w:tab w:val="clear" w:pos="720"/>
          <w:tab w:val="left" w:pos="1080" w:leader="none"/>
        </w:tabs>
        <w:ind w:hanging="360" w:start="1080" w:end="0"/>
        <w:rPr>
          <w:b/>
          <w:sz w:val="26"/>
        </w:rPr>
      </w:pPr>
      <w:r>
        <w:rPr>
          <w:b/>
          <w:sz w:val="26"/>
        </w:rPr>
        <w:t>Delivery / Shipping Schedules</w:t>
      </w:r>
    </w:p>
    <w:p>
      <w:pPr>
        <w:pStyle w:val="Normal"/>
        <w:numPr>
          <w:ilvl w:val="0"/>
          <w:numId w:val="5"/>
        </w:numPr>
        <w:tabs>
          <w:tab w:val="clear" w:pos="720"/>
          <w:tab w:val="left" w:pos="1440" w:leader="none"/>
        </w:tabs>
        <w:ind w:hanging="360" w:start="1440" w:end="0"/>
        <w:rPr>
          <w:b/>
          <w:sz w:val="26"/>
        </w:rPr>
      </w:pPr>
      <w:r>
        <w:rPr>
          <w:b/>
          <w:sz w:val="26"/>
        </w:rPr>
        <w:t>Previous actual</w:t>
      </w:r>
    </w:p>
    <w:p>
      <w:pPr>
        <w:pStyle w:val="Normal"/>
        <w:numPr>
          <w:ilvl w:val="0"/>
          <w:numId w:val="5"/>
        </w:numPr>
        <w:tabs>
          <w:tab w:val="clear" w:pos="720"/>
          <w:tab w:val="left" w:pos="1440" w:leader="none"/>
        </w:tabs>
        <w:ind w:hanging="360" w:start="1440" w:end="0"/>
        <w:rPr>
          <w:b/>
          <w:sz w:val="26"/>
        </w:rPr>
      </w:pPr>
      <w:r>
        <w:rPr>
          <w:b/>
          <w:sz w:val="26"/>
        </w:rPr>
        <w:t>Estimated future</w:t>
      </w:r>
    </w:p>
    <w:p>
      <w:pPr>
        <w:pStyle w:val="Normal"/>
        <w:numPr>
          <w:ilvl w:val="0"/>
          <w:numId w:val="5"/>
        </w:numPr>
        <w:tabs>
          <w:tab w:val="clear" w:pos="720"/>
          <w:tab w:val="left" w:pos="1440" w:leader="none"/>
        </w:tabs>
        <w:ind w:hanging="360" w:start="1440" w:end="0"/>
        <w:rPr>
          <w:b/>
          <w:sz w:val="26"/>
        </w:rPr>
      </w:pPr>
      <w:r>
        <w:rPr>
          <w:b/>
          <w:sz w:val="26"/>
        </w:rPr>
        <w:t>Estimated port activity</w:t>
      </w:r>
    </w:p>
    <w:p>
      <w:pPr>
        <w:pStyle w:val="Normal"/>
        <w:numPr>
          <w:ilvl w:val="0"/>
          <w:numId w:val="5"/>
        </w:numPr>
        <w:tabs>
          <w:tab w:val="clear" w:pos="720"/>
          <w:tab w:val="left" w:pos="1080" w:leader="none"/>
        </w:tabs>
        <w:ind w:hanging="360" w:start="1080" w:end="0"/>
        <w:rPr>
          <w:b/>
          <w:sz w:val="26"/>
        </w:rPr>
      </w:pPr>
      <w:r>
        <w:rPr>
          <w:b/>
          <w:sz w:val="26"/>
        </w:rPr>
        <w:t>Consumption</w:t>
      </w:r>
    </w:p>
    <w:p>
      <w:pPr>
        <w:pStyle w:val="Normal"/>
        <w:numPr>
          <w:ilvl w:val="0"/>
          <w:numId w:val="5"/>
        </w:numPr>
        <w:tabs>
          <w:tab w:val="clear" w:pos="720"/>
          <w:tab w:val="left" w:pos="1440" w:leader="none"/>
        </w:tabs>
        <w:ind w:hanging="360" w:start="1440" w:end="0"/>
        <w:rPr>
          <w:b/>
          <w:sz w:val="26"/>
        </w:rPr>
      </w:pPr>
      <w:r>
        <w:rPr>
          <w:b/>
          <w:sz w:val="26"/>
        </w:rPr>
        <w:t>Actual daily average</w:t>
      </w:r>
    </w:p>
    <w:p>
      <w:pPr>
        <w:pStyle w:val="Normal"/>
        <w:numPr>
          <w:ilvl w:val="0"/>
          <w:numId w:val="5"/>
        </w:numPr>
        <w:tabs>
          <w:tab w:val="clear" w:pos="720"/>
          <w:tab w:val="left" w:pos="1440" w:leader="none"/>
        </w:tabs>
        <w:ind w:hanging="360" w:start="1440" w:end="0"/>
        <w:rPr>
          <w:b/>
          <w:sz w:val="26"/>
        </w:rPr>
      </w:pPr>
      <w:r>
        <w:rPr>
          <w:b/>
          <w:sz w:val="26"/>
        </w:rPr>
        <w:t>Estimated daily</w:t>
      </w:r>
    </w:p>
    <w:p>
      <w:pPr>
        <w:pStyle w:val="Normal"/>
        <w:numPr>
          <w:ilvl w:val="0"/>
          <w:numId w:val="5"/>
        </w:numPr>
        <w:tabs>
          <w:tab w:val="clear" w:pos="720"/>
          <w:tab w:val="left" w:pos="1440" w:leader="none"/>
        </w:tabs>
        <w:ind w:hanging="360" w:start="1440" w:end="0"/>
        <w:rPr>
          <w:b/>
          <w:sz w:val="26"/>
        </w:rPr>
      </w:pPr>
      <w:r>
        <w:rPr>
          <w:b/>
          <w:sz w:val="26"/>
        </w:rPr>
        <w:t>Estimated monthly</w:t>
      </w:r>
    </w:p>
    <w:p>
      <w:pPr>
        <w:pStyle w:val="Normal"/>
        <w:rPr>
          <w:b/>
          <w:sz w:val="26"/>
        </w:rPr>
      </w:pPr>
      <w:r>
        <w:rPr>
          <w:b/>
          <w:sz w:val="26"/>
        </w:rPr>
      </w:r>
    </w:p>
    <w:p>
      <w:pPr>
        <w:pStyle w:val="Normal"/>
        <w:rPr>
          <w:b/>
          <w:sz w:val="26"/>
        </w:rPr>
      </w:pPr>
      <w:r>
        <w:rPr>
          <w:b/>
          <w:sz w:val="26"/>
        </w:rPr>
        <w:t>Report covering the Fuel Costs:</w:t>
      </w:r>
    </w:p>
    <w:p>
      <w:pPr>
        <w:pStyle w:val="Normal"/>
        <w:numPr>
          <w:ilvl w:val="0"/>
          <w:numId w:val="2"/>
        </w:numPr>
        <w:tabs>
          <w:tab w:val="clear" w:pos="720"/>
          <w:tab w:val="left" w:pos="1080" w:leader="none"/>
        </w:tabs>
        <w:ind w:hanging="360" w:start="1080" w:end="0"/>
        <w:rPr>
          <w:b/>
          <w:sz w:val="26"/>
        </w:rPr>
      </w:pPr>
      <w:r>
        <w:rPr>
          <w:b/>
          <w:sz w:val="26"/>
        </w:rPr>
        <w:t>Previous actual  - cargo by cargo basis</w:t>
      </w:r>
    </w:p>
    <w:p>
      <w:pPr>
        <w:pStyle w:val="Normal"/>
        <w:numPr>
          <w:ilvl w:val="0"/>
          <w:numId w:val="2"/>
        </w:numPr>
        <w:tabs>
          <w:tab w:val="clear" w:pos="720"/>
          <w:tab w:val="left" w:pos="1080" w:leader="none"/>
        </w:tabs>
        <w:ind w:hanging="360" w:start="1080" w:end="0"/>
        <w:rPr>
          <w:b/>
          <w:sz w:val="26"/>
        </w:rPr>
      </w:pPr>
      <w:r>
        <w:rPr>
          <w:b/>
          <w:sz w:val="26"/>
        </w:rPr>
        <w:t>Weighted monthly average</w:t>
      </w:r>
    </w:p>
    <w:p>
      <w:pPr>
        <w:pStyle w:val="Normal"/>
        <w:numPr>
          <w:ilvl w:val="0"/>
          <w:numId w:val="2"/>
        </w:numPr>
        <w:tabs>
          <w:tab w:val="clear" w:pos="720"/>
          <w:tab w:val="left" w:pos="1080" w:leader="none"/>
        </w:tabs>
        <w:ind w:hanging="360" w:start="1080" w:end="0"/>
        <w:rPr>
          <w:b/>
          <w:sz w:val="26"/>
        </w:rPr>
      </w:pPr>
      <w:r>
        <w:rPr>
          <w:b/>
          <w:sz w:val="26"/>
        </w:rPr>
        <w:t>Projected cost on future deliveries</w:t>
      </w:r>
    </w:p>
    <w:p>
      <w:pPr>
        <w:pStyle w:val="Normal"/>
        <w:rPr>
          <w:b/>
          <w:sz w:val="26"/>
        </w:rPr>
      </w:pPr>
      <w:r>
        <w:rPr>
          <w:b/>
          <w:sz w:val="26"/>
        </w:rPr>
      </w:r>
    </w:p>
    <w:p>
      <w:pPr>
        <w:pStyle w:val="Normal"/>
        <w:rPr>
          <w:b/>
          <w:sz w:val="26"/>
        </w:rPr>
      </w:pPr>
      <w:r>
        <w:rPr>
          <w:b/>
          <w:sz w:val="26"/>
        </w:rPr>
        <w:t>Charts reporting price movements and price forecasts for liquid fuel for:</w:t>
      </w:r>
    </w:p>
    <w:p>
      <w:pPr>
        <w:pStyle w:val="Normal"/>
        <w:numPr>
          <w:ilvl w:val="0"/>
          <w:numId w:val="4"/>
        </w:numPr>
        <w:tabs>
          <w:tab w:val="clear" w:pos="720"/>
          <w:tab w:val="left" w:pos="1080" w:leader="none"/>
        </w:tabs>
        <w:ind w:hanging="360" w:start="1080" w:end="0"/>
        <w:rPr>
          <w:b/>
          <w:sz w:val="26"/>
        </w:rPr>
      </w:pPr>
      <w:r>
        <w:rPr>
          <w:b/>
          <w:sz w:val="26"/>
        </w:rPr>
        <w:t>Naphtha FOB Arab Gulf (Index in Glencore contract)</w:t>
      </w:r>
    </w:p>
    <w:p>
      <w:pPr>
        <w:pStyle w:val="Normal"/>
        <w:numPr>
          <w:ilvl w:val="0"/>
          <w:numId w:val="4"/>
        </w:numPr>
        <w:tabs>
          <w:tab w:val="clear" w:pos="720"/>
          <w:tab w:val="left" w:pos="1080" w:leader="none"/>
        </w:tabs>
        <w:ind w:hanging="360" w:start="1080" w:end="0"/>
        <w:rPr>
          <w:b/>
          <w:sz w:val="26"/>
        </w:rPr>
      </w:pPr>
      <w:r>
        <w:rPr>
          <w:b/>
          <w:sz w:val="26"/>
        </w:rPr>
        <w:t>Delivered Naphtha Price (includes freight, insurance, specification premium)</w:t>
      </w:r>
    </w:p>
    <w:p>
      <w:pPr>
        <w:pStyle w:val="Normal"/>
        <w:numPr>
          <w:ilvl w:val="0"/>
          <w:numId w:val="4"/>
        </w:numPr>
        <w:tabs>
          <w:tab w:val="clear" w:pos="720"/>
          <w:tab w:val="left" w:pos="1080" w:leader="none"/>
        </w:tabs>
        <w:ind w:hanging="360" w:start="1080" w:end="0"/>
        <w:rPr>
          <w:b/>
          <w:sz w:val="26"/>
        </w:rPr>
      </w:pPr>
      <w:r>
        <w:rPr>
          <w:b/>
          <w:sz w:val="26"/>
        </w:rPr>
        <w:t>Gasoil FOB Arab Gulf</w:t>
      </w:r>
    </w:p>
    <w:p>
      <w:pPr>
        <w:pStyle w:val="Normal"/>
        <w:rPr>
          <w:b/>
          <w:sz w:val="26"/>
        </w:rPr>
      </w:pPr>
      <w:r>
        <w:rPr>
          <w:b/>
          <w:sz w:val="26"/>
        </w:rPr>
      </w:r>
    </w:p>
    <w:p>
      <w:pPr>
        <w:pStyle w:val="Heading2"/>
        <w:ind w:hanging="0" w:start="0"/>
        <w:rPr>
          <w:sz w:val="26"/>
        </w:rPr>
      </w:pPr>
      <w:r>
        <w:rPr>
          <w:sz w:val="26"/>
        </w:rPr>
        <w:t>Chart reporting applicable industry transportation costs:</w:t>
      </w:r>
    </w:p>
    <w:p>
      <w:pPr>
        <w:pStyle w:val="Normal"/>
        <w:numPr>
          <w:ilvl w:val="0"/>
          <w:numId w:val="3"/>
        </w:numPr>
        <w:tabs>
          <w:tab w:val="clear" w:pos="720"/>
          <w:tab w:val="left" w:pos="1080" w:leader="none"/>
        </w:tabs>
        <w:ind w:hanging="360" w:start="1080" w:end="0"/>
        <w:rPr>
          <w:b/>
          <w:sz w:val="26"/>
        </w:rPr>
      </w:pPr>
      <w:r>
        <w:rPr>
          <w:b/>
          <w:sz w:val="26"/>
        </w:rPr>
        <w:t>1999 to date</w:t>
      </w:r>
    </w:p>
    <w:p>
      <w:pPr>
        <w:pStyle w:val="Normal"/>
        <w:numPr>
          <w:ilvl w:val="0"/>
          <w:numId w:val="3"/>
        </w:numPr>
        <w:tabs>
          <w:tab w:val="clear" w:pos="720"/>
          <w:tab w:val="left" w:pos="1080" w:leader="none"/>
        </w:tabs>
        <w:ind w:hanging="360" w:start="1080" w:end="0"/>
        <w:rPr>
          <w:b/>
          <w:sz w:val="26"/>
        </w:rPr>
      </w:pPr>
      <w:r>
        <w:rPr>
          <w:b/>
          <w:sz w:val="26"/>
        </w:rPr>
        <w:t>Forecasted based on historical trends</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u w:val="single"/>
        </w:rPr>
      </w:pPr>
      <w:r>
        <w:rPr>
          <w:b/>
          <w:sz w:val="28"/>
          <w:u w:val="single"/>
        </w:rPr>
        <w:t>Executive Summary</w:t>
      </w:r>
    </w:p>
    <w:p>
      <w:pPr>
        <w:pStyle w:val="BodyText"/>
        <w:rPr/>
      </w:pPr>
      <w:r>
        <w:rPr/>
        <w:tab/>
        <w:br/>
        <w:tab/>
        <w:t>The reports have been formatted in Excel spreadsheets to consolidate the information pertaining to each month on one sheet, and therefore facilitate the reading, reference and retrieval of the same. Summarized information is provided on each monthly report for quick reference. These monthly reports cover the requirements in the Fuel Management Agreement, Schedule 2, Numbers 1 through 3.</w:t>
      </w:r>
    </w:p>
    <w:p>
      <w:pPr>
        <w:pStyle w:val="Normal"/>
        <w:rPr>
          <w:sz w:val="28"/>
        </w:rPr>
      </w:pPr>
      <w:r>
        <w:rPr>
          <w:sz w:val="28"/>
        </w:rPr>
      </w:r>
    </w:p>
    <w:p>
      <w:pPr>
        <w:pStyle w:val="BodyText"/>
        <w:rPr/>
      </w:pPr>
      <w:r>
        <w:rPr/>
        <w:tab/>
        <w:t>A report detailing the cargo by cargo costs of the naphtha deliveries is provided including the actual Platt’s quotations used by the fuel supplier for the “5 day wrap” of the Bill of Lading date, which is the basis for the naphtha’s pricing. In addition any demurrage incurred in each delivery has also been included, with a break-out for that portion of the demurrage which is undisputed, as verified by Fuel Manager’s Demurrage Dept, and for the demurrage which is still being negotiated with the fuel supplier. This report covers the requirements in the Fuel Management Agreement, Schedule 2, Number 4.</w:t>
      </w:r>
    </w:p>
    <w:p>
      <w:pPr>
        <w:pStyle w:val="Normal"/>
        <w:rPr>
          <w:sz w:val="28"/>
        </w:rPr>
      </w:pPr>
      <w:r>
        <w:rPr>
          <w:sz w:val="28"/>
        </w:rPr>
      </w:r>
    </w:p>
    <w:p>
      <w:pPr>
        <w:pStyle w:val="BodyText"/>
        <w:rPr/>
      </w:pPr>
      <w:r>
        <w:rPr/>
        <w:tab/>
        <w:t>Charts are provided which provide immediate reference to the price of naphtha and No.2 HSD distillate in the Arab Gulf on an FOB basis, as well as the theoretical delivered price for the naphtha supplied by Glencore on a daily basis. In addition there is a chart which reports the freight cost for a 30,000 MT clean vessel from the Arab Gulf to India. These charts report the actual historical costs, as well as the forecasted costs through the end of the year. A new bar graph which shows fuel use by month has been included in this report.  These charts cover the requirement in the Fuel Management Agreement, Schedule 2, Numbers 5 and 6.</w:t>
      </w:r>
    </w:p>
    <w:p>
      <w:pPr>
        <w:pStyle w:val="BodyText"/>
        <w:rPr/>
      </w:pPr>
      <w:r>
        <w:rPr/>
      </w:r>
    </w:p>
    <w:p>
      <w:pPr>
        <w:pStyle w:val="BodyText"/>
        <w:rPr/>
      </w:pPr>
      <w:r>
        <w:rPr/>
        <w:tab/>
        <w:t>At this time there are no modifications to the Fuel Manager’s strategy contemplated for the balance of the year 2000.</w:t>
      </w:r>
    </w:p>
    <w:p>
      <w:pPr>
        <w:pStyle w:val="BodyText"/>
        <w:rPr/>
      </w:pPr>
      <w:r>
        <w:rPr/>
      </w:r>
    </w:p>
    <w:p>
      <w:pPr>
        <w:pStyle w:val="BodyText"/>
        <w:ind w:firstLine="720" w:end="0"/>
        <w:rPr/>
      </w:pPr>
      <w:r>
        <w:rPr/>
        <w:t>The Fuel Manager is pleased to report that on September 15, 2000 DPC and Glencore signed an amendment to the current FSA which extends the term through year-end 2001.  The extension captures a reduction in premium during the year 2001.  In addition, full optionality to source naphtha from Indian producers is permitted when such supplies are cheaper than foreign naphtha, subject to Glencore’s consent, and sharing in resultant cost savings on a 50/50 basis.  Furthermore, DPC will have a choice to convert a floating index-based price mechanism to a fixed price from time to time and as desired by DPC on a cargo basis, or for a specific time period.  Several operational concessions are also incorporated in the amendment.  The amendment will become effective once DPC secures necessary approvals from the lenders.</w:t>
      </w:r>
    </w:p>
    <w:p>
      <w:pPr>
        <w:pStyle w:val="BodyText"/>
        <w:rPr/>
      </w:pPr>
      <w:r>
        <w:rPr/>
      </w:r>
    </w:p>
    <w:p>
      <w:pPr>
        <w:pStyle w:val="BodyText"/>
        <w:ind w:firstLine="720" w:end="0"/>
        <w:rPr/>
      </w:pPr>
      <w:r>
        <w:rPr/>
        <w:t>Based on the timetable for Phase II, Blocks B and C are scheduled for testing later this year requiring Distillate from November 2000 through February 2001.  Naphtha supply during the first half of 2001 will have to allow for testing, commissioning and start-up.</w:t>
      </w:r>
    </w:p>
    <w:p>
      <w:pPr>
        <w:pStyle w:val="BodyText"/>
        <w:rPr/>
      </w:pPr>
      <w:r>
        <w:rPr/>
      </w:r>
    </w:p>
    <w:p>
      <w:pPr>
        <w:pStyle w:val="BodyText"/>
        <w:rPr/>
      </w:pPr>
      <w:r>
        <w:rPr/>
      </w:r>
    </w:p>
    <w:p>
      <w:pPr>
        <w:pStyle w:val="BodyText"/>
        <w:ind w:firstLine="720" w:end="0"/>
        <w:jc w:val="center"/>
        <w:rPr>
          <w:b/>
          <w:color w:val="000000"/>
          <w:u w:val="single"/>
          <w:lang w:eastAsia="en-US"/>
        </w:rPr>
      </w:pPr>
      <w:r>
        <w:rPr>
          <w:b/>
          <w:color w:val="000000"/>
          <w:u w:val="single"/>
          <w:lang w:eastAsia="en-US"/>
        </w:rPr>
        <w:t>LNG</w:t>
      </w:r>
    </w:p>
    <w:p>
      <w:pPr>
        <w:pStyle w:val="BodyText"/>
        <w:ind w:firstLine="720" w:end="0"/>
        <w:rPr>
          <w:b/>
          <w:color w:val="000000"/>
          <w:u w:val="single"/>
          <w:lang w:eastAsia="en-US"/>
        </w:rPr>
      </w:pPr>
      <w:r>
        <w:rPr>
          <w:b/>
          <w:color w:val="000000"/>
          <w:u w:val="single"/>
          <w:lang w:eastAsia="en-US"/>
        </w:rPr>
      </w:r>
    </w:p>
    <w:p>
      <w:pPr>
        <w:pStyle w:val="BodyText"/>
        <w:ind w:firstLine="720" w:end="0"/>
        <w:rPr>
          <w:color w:val="000000"/>
          <w:lang w:eastAsia="en-US"/>
        </w:rPr>
      </w:pPr>
      <w:r>
        <w:rPr>
          <w:color w:val="000000"/>
          <w:lang w:eastAsia="en-US"/>
        </w:rPr>
      </w:r>
    </w:p>
    <w:p>
      <w:pPr>
        <w:pStyle w:val="BodyText"/>
        <w:ind w:firstLine="720" w:end="0"/>
        <w:rPr>
          <w:lang w:eastAsia="en-US"/>
        </w:rPr>
      </w:pPr>
      <w:r>
        <w:rPr>
          <w:lang w:eastAsia="en-US"/>
        </w:rPr>
        <w:t>The LNG Fuel Manager, along with Enron’s LNG team, is currently in India to discuss narrowing of the delivery window for the LNG/C LAKSHMI.  The LNG Fuel Manager anticipates meetings with ADGAS and OLNG during the next two months to discuss implementation procedures.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24"/>
      </w:rPr>
    </w:pPr>
    <w:r>
      <w:rPr>
        <w:b/>
        <w:sz w:val="24"/>
      </w:rPr>
      <w:t>Natural gas.  Electricity.  Endless possibilities.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5868"/>
      <w:gridCol w:w="2988"/>
    </w:tblGrid>
    <w:tr>
      <w:trPr/>
      <w:tc>
        <w:tcPr>
          <w:tcW w:w="5868" w:type="dxa"/>
          <w:tcBorders/>
        </w:tcPr>
        <w:p>
          <w:pPr>
            <w:pStyle w:val="Normal"/>
            <w:rPr/>
          </w:pPr>
          <w:r>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03300" cy="987425"/>
                        </a:xfrm>
                        <a:prstGeom prst="rect">
                          <a:avLst/>
                        </a:prstGeom>
                        <a:noFill/>
                      </pic:spPr>
                    </pic:pic>
                  </a:graphicData>
                </a:graphic>
              </wp:inline>
            </w:drawing>
          </w:r>
        </w:p>
        <w:p>
          <w:pPr>
            <w:pStyle w:val="Normal"/>
            <w:tabs>
              <w:tab w:val="clear" w:pos="720"/>
              <w:tab w:val="left" w:pos="5760" w:leader="none"/>
            </w:tabs>
            <w:jc w:val="end"/>
            <w:rPr/>
          </w:pPr>
          <w:r>
            <w:rPr/>
          </w:r>
        </w:p>
      </w:tc>
      <w:tc>
        <w:tcPr>
          <w:tcW w:w="2988" w:type="dxa"/>
          <w:tcBorders/>
        </w:tcPr>
        <w:p>
          <w:pPr>
            <w:pStyle w:val="Normal"/>
            <w:tabs>
              <w:tab w:val="clear" w:pos="720"/>
              <w:tab w:val="left" w:pos="5760" w:leader="none"/>
            </w:tabs>
            <w:rPr>
              <w:b/>
            </w:rPr>
          </w:pPr>
          <w:r>
            <w:rPr>
              <w:b/>
            </w:rPr>
            <w:t>Enron Fuels International</w:t>
          </w:r>
        </w:p>
        <w:p>
          <w:pPr>
            <w:pStyle w:val="Normal"/>
            <w:tabs>
              <w:tab w:val="clear" w:pos="720"/>
              <w:tab w:val="left" w:pos="5760" w:leader="none"/>
            </w:tabs>
            <w:rPr/>
          </w:pPr>
          <w:r>
            <w:rPr/>
            <w:t>P.O. Box 1188</w:t>
          </w:r>
        </w:p>
        <w:p>
          <w:pPr>
            <w:pStyle w:val="Normal"/>
            <w:tabs>
              <w:tab w:val="clear" w:pos="720"/>
              <w:tab w:val="left" w:pos="5760" w:leader="none"/>
            </w:tabs>
            <w:rPr/>
          </w:pPr>
          <w:r>
            <w:rPr/>
            <w:t>Houston, TX 77251-1188</w:t>
          </w:r>
        </w:p>
      </w:tc>
    </w:tr>
  </w:tbl>
  <w:p>
    <w:pPr>
      <w:pStyle w:val="Header"/>
      <w:jc w:val="end"/>
      <w:rPr>
        <w:b/>
        <w:sz w:val="24"/>
      </w:rPr>
    </w:pPr>
    <w:r>
      <w:rPr>
        <w:b/>
        <w:sz w:val="24"/>
      </w:rPr>
      <w:fldChar w:fldCharType="begin"/>
    </w:r>
    <w:r>
      <w:rPr>
        <w:sz w:val="24"/>
        <w:b/>
      </w:rPr>
      <w:instrText xml:space="preserve"> DATE \@"d\ MMMM', 'yyyy" </w:instrText>
    </w:r>
    <w:r>
      <w:rPr>
        <w:sz w:val="24"/>
        <w:b/>
      </w:rPr>
      <w:fldChar w:fldCharType="separate"/>
    </w:r>
    <w:r>
      <w:rPr>
        <w:sz w:val="24"/>
        <w:b/>
      </w:rPr>
      <w:t>28 September, 2025</w:t>
    </w:r>
    <w:r>
      <w:rPr>
        <w:sz w:val="24"/>
        <w:b/>
      </w:rPr>
      <w:fldChar w:fldCharType="end"/>
    </w:r>
  </w:p>
  <w:p>
    <w:pPr>
      <w:pStyle w:val="Heading"/>
      <w:rPr/>
    </w:pPr>
    <w:r>
      <w:rPr/>
      <w:t>FUEL MANAGER’S REPORTS</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outlineLvl w:val="1"/>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u w:val="single"/>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2000-10-03T19:10:00Z</dcterms:created>
  <dc:creator>Tushar Dhruv</dc:creator>
  <dc:description/>
  <dc:language>en-CA</dc:language>
  <cp:lastModifiedBy>tdhruv</cp:lastModifiedBy>
  <cp:lastPrinted>2000-10-10T10:22:00Z</cp:lastPrinted>
  <dcterms:modified xsi:type="dcterms:W3CDTF">2000-10-10T12:53:00Z</dcterms:modified>
  <cp:revision>9</cp:revision>
  <dc:subject>Sep 30, 2000 Qtr Rep</dc:subject>
  <dc:title>FMA Quarterly Report</dc:title>
</cp:coreProperties>
</file>