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BodyText"/>
        <w:rPr/>
      </w:pPr>
      <w:r>
        <w:rPr/>
      </w:r>
    </w:p>
    <w:p>
      <w:pPr>
        <w:pStyle w:val="BodyText"/>
        <w:ind w:firstLine="720" w:end="0"/>
        <w:jc w:val="center"/>
        <w:rPr>
          <w:b/>
          <w:color w:val="000000"/>
          <w:u w:val="single"/>
          <w:lang w:eastAsia="en-US"/>
        </w:rPr>
      </w:pPr>
      <w:r>
        <w:rPr>
          <w:b/>
          <w:color w:val="000000"/>
          <w:u w:val="single"/>
          <w:lang w:eastAsia="en-US"/>
        </w:rPr>
        <w:t>LNG</w:t>
      </w:r>
    </w:p>
    <w:p>
      <w:pPr>
        <w:pStyle w:val="BodyText"/>
        <w:ind w:firstLine="720" w:end="0"/>
        <w:rPr>
          <w:b/>
          <w:color w:val="000000"/>
          <w:u w:val="single"/>
          <w:lang w:eastAsia="en-US"/>
        </w:rPr>
      </w:pPr>
      <w:r>
        <w:rPr>
          <w:b/>
          <w:color w:val="000000"/>
          <w:u w:val="single"/>
          <w:lang w:eastAsia="en-US"/>
        </w:rPr>
      </w:r>
    </w:p>
    <w:p>
      <w:pPr>
        <w:pStyle w:val="BodyText"/>
        <w:ind w:firstLine="720" w:end="0"/>
        <w:rPr>
          <w:color w:val="000000"/>
          <w:lang w:eastAsia="en-US"/>
        </w:rPr>
      </w:pPr>
      <w:r>
        <w:rPr>
          <w:color w:val="000000"/>
          <w:lang w:eastAsia="en-US"/>
        </w:rPr>
      </w:r>
    </w:p>
    <w:p>
      <w:pPr>
        <w:pStyle w:val="BodyText"/>
        <w:ind w:firstLine="720" w:end="0"/>
        <w:rPr/>
      </w:pPr>
      <w:r>
        <w:rPr>
          <w:lang w:eastAsia="en-US"/>
        </w:rPr>
        <w:t>The LNG Fuel Manager</w:t>
      </w:r>
      <w:r>
        <w:rPr>
          <w:color w:val="000000"/>
          <w:lang w:eastAsia="en-US"/>
        </w:rPr>
        <w:t xml:space="preserve"> is working on the implementation procedures and Conditions of Use Agreement. Meetings were held with both OLNG and ADGas in late March. Plan to have procedures and COU’s finalized by the end of 2Q 01. The delivery date for the Lakshmi has been set to 15 Nov 2001. Construction progress for the Phase II LNG Facility stands at 82.4% overall versus a target plan of 81.9%. The Lakshmi is 94% complete.</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24"/>
      </w:rPr>
    </w:pPr>
    <w:r>
      <w:rPr>
        <w:b/>
        <w:sz w:val="24"/>
      </w:rPr>
      <w:t>Natural gas.  Electricity.  Endless possibilities.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5868"/>
      <w:gridCol w:w="2988"/>
    </w:tblGrid>
    <w:tr>
      <w:trPr/>
      <w:tc>
        <w:tcPr>
          <w:tcW w:w="5868" w:type="dxa"/>
          <w:tcBorders/>
        </w:tcPr>
        <w:p>
          <w:pPr>
            <w:pStyle w:val="Normal"/>
            <w:rPr/>
          </w:pPr>
          <w:r>
            <w:rPr/>
            <w:drawing>
              <wp:inline distT="0" distB="0" distL="0" distR="0">
                <wp:extent cx="100330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1003300" cy="987425"/>
                        </a:xfrm>
                        <a:prstGeom prst="rect">
                          <a:avLst/>
                        </a:prstGeom>
                        <a:noFill/>
                      </pic:spPr>
                    </pic:pic>
                  </a:graphicData>
                </a:graphic>
              </wp:inline>
            </w:drawing>
          </w:r>
        </w:p>
        <w:p>
          <w:pPr>
            <w:pStyle w:val="Normal"/>
            <w:tabs>
              <w:tab w:val="clear" w:pos="720"/>
              <w:tab w:val="left" w:pos="5760" w:leader="none"/>
            </w:tabs>
            <w:jc w:val="end"/>
            <w:rPr/>
          </w:pPr>
          <w:r>
            <w:rPr/>
          </w:r>
        </w:p>
      </w:tc>
      <w:tc>
        <w:tcPr>
          <w:tcW w:w="2988" w:type="dxa"/>
          <w:tcBorders/>
        </w:tcPr>
        <w:p>
          <w:pPr>
            <w:pStyle w:val="Normal"/>
            <w:tabs>
              <w:tab w:val="clear" w:pos="720"/>
              <w:tab w:val="left" w:pos="5760" w:leader="none"/>
            </w:tabs>
            <w:rPr>
              <w:b/>
            </w:rPr>
          </w:pPr>
          <w:r>
            <w:rPr>
              <w:b/>
            </w:rPr>
            <w:t>Enron Fuels International</w:t>
          </w:r>
        </w:p>
        <w:p>
          <w:pPr>
            <w:pStyle w:val="Normal"/>
            <w:tabs>
              <w:tab w:val="clear" w:pos="720"/>
              <w:tab w:val="left" w:pos="5760" w:leader="none"/>
            </w:tabs>
            <w:rPr/>
          </w:pPr>
          <w:r>
            <w:rPr/>
            <w:t>P.O. Box 1188</w:t>
          </w:r>
        </w:p>
        <w:p>
          <w:pPr>
            <w:pStyle w:val="Normal"/>
            <w:tabs>
              <w:tab w:val="clear" w:pos="720"/>
              <w:tab w:val="left" w:pos="5760" w:leader="none"/>
            </w:tabs>
            <w:rPr/>
          </w:pPr>
          <w:r>
            <w:rPr/>
            <w:t>Houston, TX 77251-1188</w:t>
          </w:r>
        </w:p>
        <w:p>
          <w:pPr>
            <w:pStyle w:val="Normal"/>
            <w:tabs>
              <w:tab w:val="clear" w:pos="720"/>
              <w:tab w:val="left" w:pos="5760" w:leader="none"/>
            </w:tabs>
            <w:rPr/>
          </w:pPr>
          <w:r>
            <w:rPr/>
          </w:r>
        </w:p>
        <w:p>
          <w:pPr>
            <w:pStyle w:val="Normal"/>
            <w:tabs>
              <w:tab w:val="clear" w:pos="720"/>
              <w:tab w:val="left" w:pos="5760" w:leader="none"/>
            </w:tabs>
            <w:rPr/>
          </w:pPr>
          <w:r>
            <w:rPr/>
          </w:r>
        </w:p>
        <w:p>
          <w:pPr>
            <w:pStyle w:val="Normal"/>
            <w:tabs>
              <w:tab w:val="clear" w:pos="720"/>
              <w:tab w:val="left" w:pos="5760" w:leader="none"/>
            </w:tabs>
            <w:rPr>
              <w:b/>
              <w:sz w:val="24"/>
            </w:rPr>
          </w:pPr>
          <w:r>
            <w:rPr>
              <w:b/>
              <w:sz w:val="24"/>
            </w:rPr>
            <w:fldChar w:fldCharType="begin"/>
          </w:r>
          <w:r>
            <w:rPr>
              <w:sz w:val="24"/>
              <w:b/>
            </w:rPr>
            <w:instrText xml:space="preserve"> DATE \@"d\ MMMM', 'yyyy" </w:instrText>
          </w:r>
          <w:r>
            <w:rPr>
              <w:sz w:val="24"/>
              <w:b/>
            </w:rPr>
            <w:fldChar w:fldCharType="separate"/>
          </w:r>
          <w:r>
            <w:rPr>
              <w:sz w:val="24"/>
              <w:b/>
            </w:rPr>
            <w:t>28 September, 2025</w:t>
          </w:r>
          <w:r>
            <w:rPr>
              <w:sz w:val="24"/>
              <w:b/>
            </w:rPr>
            <w:fldChar w:fldCharType="end"/>
          </w:r>
        </w:p>
      </w:tc>
    </w:tr>
  </w:tbl>
  <w:p>
    <w:pPr>
      <w:pStyle w:val="Header"/>
      <w:jc w:val="end"/>
      <w:rPr>
        <w:b/>
        <w:sz w:val="24"/>
      </w:rPr>
    </w:pPr>
    <w:r>
      <w:rPr>
        <w:b/>
        <w:sz w:val="24"/>
      </w:rPr>
    </w:r>
  </w:p>
  <w:p>
    <w:pPr>
      <w:pStyle w:val="Heading"/>
      <w:rPr/>
    </w:pPr>
    <w:r>
      <w:rPr/>
      <w:t>FUEL MANAGER’S REPORTS</w:t>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outlineLvl w:val="1"/>
    </w:pPr>
    <w:rPr>
      <w:b/>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sz w:val="28"/>
      <w:u w:val="single"/>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2001-04-17T13:13:00Z</dcterms:created>
  <dc:creator>Tushar Dhruv</dc:creator>
  <dc:description/>
  <dc:language>en-CA</dc:language>
  <cp:lastModifiedBy>EI</cp:lastModifiedBy>
  <cp:lastPrinted>2001-02-01T15:03:00Z</cp:lastPrinted>
  <dcterms:modified xsi:type="dcterms:W3CDTF">2001-04-17T14:31:00Z</dcterms:modified>
  <cp:revision>5</cp:revision>
  <dc:subject>Sep 30, 2000 Qtr Rep</dc:subject>
  <dc:title>FMA Quarterly Report</dc:title>
</cp:coreProperties>
</file>