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r>
        <w:rPr/>
        <w:t>The Modelling Behind The Fair Market Curves:</w:t>
      </w:r>
    </w:p>
    <w:p>
      <w:pPr>
        <w:pStyle w:val="Normal"/>
        <w:rPr>
          <w:b/>
          <w:sz w:val="32"/>
        </w:rPr>
      </w:pPr>
      <w:r>
        <w:rPr>
          <w:b/>
          <w:sz w:val="32"/>
        </w:rPr>
        <w:t>Including Country and Industry Offsets</w:t>
      </w:r>
    </w:p>
    <w:p>
      <w:pPr>
        <w:pStyle w:val="Normal"/>
        <w:rPr>
          <w:b/>
          <w:sz w:val="32"/>
        </w:rPr>
      </w:pPr>
      <w:r>
        <w:rPr>
          <w:b/>
          <w:sz w:val="32"/>
        </w:rPr>
      </w:r>
    </w:p>
    <w:p>
      <w:pPr>
        <w:pStyle w:val="Normal"/>
        <w:rPr>
          <w:b/>
          <w:sz w:val="24"/>
        </w:rPr>
      </w:pPr>
      <w:r>
        <w:rPr>
          <w:b/>
          <w:sz w:val="24"/>
        </w:rPr>
        <w:t xml:space="preserve">Dr Nigel M. Price </w:t>
      </w:r>
    </w:p>
    <w:p>
      <w:pPr>
        <w:pStyle w:val="Heading1"/>
        <w:ind w:hanging="0" w:start="0"/>
        <w:rPr/>
      </w:pPr>
      <w:r>
        <w:rPr/>
        <w:t>EnronCredit.com</w:t>
      </w:r>
    </w:p>
    <w:p>
      <w:pPr>
        <w:pStyle w:val="Normal"/>
        <w:rPr>
          <w:b/>
          <w:sz w:val="24"/>
        </w:rPr>
      </w:pPr>
      <w:r>
        <w:rPr>
          <w:b/>
          <w:sz w:val="24"/>
        </w:rPr>
      </w:r>
    </w:p>
    <w:p>
      <w:pPr>
        <w:pStyle w:val="Normal"/>
        <w:rPr>
          <w:b/>
          <w:sz w:val="24"/>
        </w:rPr>
      </w:pPr>
      <w:r>
        <w:rPr>
          <w:b/>
          <w:sz w:val="24"/>
        </w:rPr>
        <w:t>Contents</w:t>
      </w:r>
    </w:p>
    <w:p>
      <w:pPr>
        <w:pStyle w:val="Normal"/>
        <w:rPr>
          <w:b/>
          <w:sz w:val="24"/>
        </w:rPr>
      </w:pPr>
      <w:r>
        <w:rPr>
          <w:b/>
          <w:sz w:val="24"/>
        </w:rPr>
      </w:r>
    </w:p>
    <w:p>
      <w:pPr>
        <w:pStyle w:val="BodyText"/>
        <w:rPr/>
      </w:pPr>
      <w:r>
        <w:rPr/>
        <w:t>In this document we review the modelling behind EnronCredit.com’s Fair Market Curves (FMC). We proceed with this review in the following order:</w:t>
      </w:r>
    </w:p>
    <w:p>
      <w:pPr>
        <w:pStyle w:val="Normal"/>
        <w:rPr>
          <w:sz w:val="24"/>
        </w:rPr>
      </w:pPr>
      <w:r>
        <w:rPr>
          <w:sz w:val="24"/>
        </w:rPr>
      </w:r>
    </w:p>
    <w:p>
      <w:pPr>
        <w:pStyle w:val="Normal"/>
        <w:rPr>
          <w:sz w:val="24"/>
        </w:rPr>
      </w:pPr>
      <w:r>
        <w:rPr>
          <w:sz w:val="24"/>
        </w:rPr>
        <w:t>Model Requirements</w:t>
      </w:r>
    </w:p>
    <w:p>
      <w:pPr>
        <w:pStyle w:val="Normal"/>
        <w:rPr>
          <w:sz w:val="24"/>
        </w:rPr>
      </w:pPr>
      <w:r>
        <w:rPr>
          <w:sz w:val="24"/>
        </w:rPr>
        <w:t>Current FMC (short-comings)</w:t>
      </w:r>
    </w:p>
    <w:p>
      <w:pPr>
        <w:pStyle w:val="Normal"/>
        <w:rPr>
          <w:sz w:val="24"/>
        </w:rPr>
      </w:pPr>
      <w:r>
        <w:rPr>
          <w:sz w:val="24"/>
        </w:rPr>
        <w:t>Fitting the US Industrial FMC</w:t>
      </w:r>
    </w:p>
    <w:p>
      <w:pPr>
        <w:pStyle w:val="Normal"/>
        <w:rPr>
          <w:sz w:val="24"/>
        </w:rPr>
      </w:pPr>
      <w:r>
        <w:rPr>
          <w:sz w:val="24"/>
        </w:rPr>
        <w:t>Industry Offsets</w:t>
      </w:r>
    </w:p>
    <w:p>
      <w:pPr>
        <w:pStyle w:val="Normal"/>
        <w:rPr>
          <w:sz w:val="24"/>
        </w:rPr>
      </w:pPr>
      <w:r>
        <w:rPr>
          <w:sz w:val="24"/>
        </w:rPr>
        <w:t>Country Offsets</w:t>
      </w:r>
    </w:p>
    <w:p>
      <w:pPr>
        <w:pStyle w:val="Normal"/>
        <w:rPr>
          <w:sz w:val="24"/>
        </w:rPr>
      </w:pPr>
      <w:r>
        <w:rPr>
          <w:sz w:val="24"/>
        </w:rPr>
        <w:t>Bankruptcy Swap Conversion</w:t>
      </w:r>
    </w:p>
    <w:p>
      <w:pPr>
        <w:pStyle w:val="Normal"/>
        <w:rPr>
          <w:sz w:val="24"/>
        </w:rPr>
      </w:pPr>
      <w:r>
        <w:rPr>
          <w:sz w:val="24"/>
        </w:rPr>
        <w:t>Portfolio Model Feedback</w:t>
      </w:r>
    </w:p>
    <w:p>
      <w:pPr>
        <w:pStyle w:val="Normal"/>
        <w:rPr>
          <w:sz w:val="24"/>
        </w:rPr>
      </w:pPr>
      <w:r>
        <w:rPr>
          <w:sz w:val="24"/>
        </w:rPr>
        <w:t>Some Results</w:t>
      </w:r>
    </w:p>
    <w:p>
      <w:pPr>
        <w:pStyle w:val="Normal"/>
        <w:rPr>
          <w:sz w:val="24"/>
        </w:rPr>
      </w:pPr>
      <w:r>
        <w:rPr>
          <w:sz w:val="24"/>
        </w:rPr>
        <w:t>Conclusions and Other Thoughts</w:t>
      </w:r>
    </w:p>
    <w:p>
      <w:pPr>
        <w:pStyle w:val="Normal"/>
        <w:rPr>
          <w:sz w:val="24"/>
        </w:rPr>
      </w:pPr>
      <w:r>
        <w:rPr>
          <w:sz w:val="24"/>
        </w:rPr>
      </w:r>
    </w:p>
    <w:p>
      <w:pPr>
        <w:pStyle w:val="Heading1"/>
        <w:ind w:hanging="0" w:start="0"/>
        <w:rPr/>
      </w:pPr>
      <w:r>
        <w:rPr/>
        <w:t>1. Model Requirements</w:t>
      </w:r>
    </w:p>
    <w:p>
      <w:pPr>
        <w:pStyle w:val="Normal"/>
        <w:rPr/>
      </w:pPr>
      <w:r>
        <w:rPr/>
      </w:r>
    </w:p>
    <w:p>
      <w:pPr>
        <w:pStyle w:val="Normal"/>
        <w:rPr>
          <w:sz w:val="24"/>
        </w:rPr>
      </w:pPr>
      <w:r>
        <w:rPr>
          <w:sz w:val="24"/>
        </w:rPr>
        <w:t>1.1 Match the Current FMC</w:t>
      </w:r>
    </w:p>
    <w:p>
      <w:pPr>
        <w:pStyle w:val="Normal"/>
        <w:rPr>
          <w:sz w:val="24"/>
        </w:rPr>
      </w:pPr>
      <w:r>
        <w:rPr>
          <w:sz w:val="24"/>
        </w:rPr>
      </w:r>
    </w:p>
    <w:p>
      <w:pPr>
        <w:pStyle w:val="Normal"/>
        <w:rPr>
          <w:sz w:val="24"/>
        </w:rPr>
      </w:pPr>
      <w:r>
        <w:object w:dxaOrig="8961" w:dyaOrig="588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6pt;margin-top:68.35pt;width:432pt;height:213.65pt;mso-wrap-distance-left:9.05pt;mso-wrap-distance-right:9.05pt;mso-position-horizontal-relative:text;mso-position-vertical-relative:text" filled="f" o:ole="">
            <v:imagedata r:id="rId4" o:title=""/>
            <w10:wrap type="topAndBottom"/>
          </v:shape>
          <o:OLEObject Type="Embed" ProgID="Excel.Sheet.12" ShapeID="ole_rId3" DrawAspect="Content" ObjectID="_1581087792" r:id="rId3"/>
        </w:object>
      </w:r>
      <w:r>
        <w:rPr>
          <w:sz w:val="24"/>
        </w:rPr>
        <w:t>It is important that any new FMC should be able to replicate/be able to model or fit the existing FMC. The structure of this can be seen in the following graph, where we have plotted Credit Default Swap Price against Credit Rating (AAA=1, B-=16).</w:t>
      </w:r>
    </w:p>
    <w:p>
      <w:pPr>
        <w:pStyle w:val="Normal"/>
        <w:rPr>
          <w:sz w:val="24"/>
        </w:rPr>
      </w:pPr>
      <w:r>
        <w:rPr>
          <w:sz w:val="24"/>
        </w:rPr>
      </w:r>
      <w:r>
        <w:br w:type="page"/>
      </w:r>
    </w:p>
    <w:p>
      <w:pPr>
        <w:pStyle w:val="Normal"/>
        <w:rPr>
          <w:sz w:val="24"/>
        </w:rPr>
      </w:pPr>
      <w:r>
        <w:rPr>
          <w:sz w:val="24"/>
        </w:rPr>
        <w:t xml:space="preserve">Looking at this graph we notice that for investment grade ratings the curve is very approximately a straight line in log-space or expressed another way the ratio of the CDS price of each rating to that of the previous rating is a constant. This means that the investment grade CDS prices should be well approximated by an exponential function of the ratings expressed as a numeric value. There is also quite clearly a break in the prices going from investment to sub-investment grade and any new model will be required to fit this structure. </w:t>
      </w:r>
    </w:p>
    <w:p>
      <w:pPr>
        <w:pStyle w:val="Normal"/>
        <w:rPr>
          <w:sz w:val="24"/>
        </w:rPr>
      </w:pPr>
      <w:r>
        <w:rPr>
          <w:sz w:val="24"/>
        </w:rPr>
      </w:r>
    </w:p>
    <w:p>
      <w:pPr>
        <w:pStyle w:val="Normal"/>
        <w:rPr>
          <w:sz w:val="24"/>
        </w:rPr>
      </w:pPr>
      <w:r>
        <w:rPr>
          <w:sz w:val="24"/>
        </w:rPr>
        <w:t>1.2 Reduce Trader Corrections</w:t>
      </w:r>
    </w:p>
    <w:p>
      <w:pPr>
        <w:pStyle w:val="Normal"/>
        <w:rPr>
          <w:sz w:val="24"/>
        </w:rPr>
      </w:pPr>
      <w:r>
        <w:rPr>
          <w:sz w:val="24"/>
        </w:rPr>
      </w:r>
    </w:p>
    <w:p>
      <w:pPr>
        <w:pStyle w:val="Normal"/>
        <w:rPr>
          <w:sz w:val="24"/>
        </w:rPr>
      </w:pPr>
      <w:r>
        <w:rPr>
          <w:sz w:val="24"/>
        </w:rPr>
        <w:t>The current FMC curves require the traders to make corrections to each of the five tenors (1, 2, 3, 4, 5 yrs) across 16 credit ratings. This requires them to manage 80 adjustments to obtain just the US industrial curves. If we wished to include 33 industries and 20 countries in a similar fashion this would require 52,800 manual adjustments. This is more fields than we have names to fit apart from being totally unmanageable. This implies that we must apply some sensible scaling and reductions in the number of fields. The first step we take is to reduce the US industrial curve to a representation of only 7 critical ratings and three tenors (1, 3, 5 years) reducing these curves to only 21 adjustable fields. Each Industry is reduced to offsets for the most liquid rating at three tenors and is scaled across the remaining ratings and tenors. Each country is dealt with in much the same way. Country and Industry offsets are considered independent. This results in approximately 180 adjustable fields with many fields remaining unaltered from one day to the next. Further we will attempt to use the traders previous corrections to suggest curves for each new day.</w:t>
      </w:r>
    </w:p>
    <w:p>
      <w:pPr>
        <w:pStyle w:val="Normal"/>
        <w:rPr>
          <w:sz w:val="24"/>
        </w:rPr>
      </w:pPr>
      <w:r>
        <w:rPr>
          <w:sz w:val="24"/>
        </w:rPr>
      </w:r>
    </w:p>
    <w:p>
      <w:pPr>
        <w:pStyle w:val="Normal"/>
        <w:rPr>
          <w:sz w:val="24"/>
        </w:rPr>
      </w:pPr>
      <w:r>
        <w:rPr>
          <w:sz w:val="24"/>
        </w:rPr>
        <w:t>1.3 Trader Control</w:t>
      </w:r>
    </w:p>
    <w:p>
      <w:pPr>
        <w:pStyle w:val="Normal"/>
        <w:rPr>
          <w:sz w:val="24"/>
        </w:rPr>
      </w:pPr>
      <w:r>
        <w:rPr>
          <w:sz w:val="24"/>
        </w:rPr>
      </w:r>
    </w:p>
    <w:p>
      <w:pPr>
        <w:pStyle w:val="Normal"/>
        <w:rPr>
          <w:sz w:val="24"/>
        </w:rPr>
      </w:pPr>
      <w:r>
        <w:rPr>
          <w:sz w:val="24"/>
        </w:rPr>
        <w:t>Right now the curves and adjustments are presented in a tabulated format. Traders’ intuition/view is better expressed graphically. The traders should have the ability to view results graphically, especially the changing shape of the curves across tenors. This needs to be captured in the new model/process.</w:t>
      </w:r>
    </w:p>
    <w:p>
      <w:pPr>
        <w:pStyle w:val="Normal"/>
        <w:rPr>
          <w:sz w:val="24"/>
        </w:rPr>
      </w:pPr>
      <w:r>
        <w:rPr>
          <w:sz w:val="24"/>
        </w:rPr>
      </w:r>
    </w:p>
    <w:p>
      <w:pPr>
        <w:pStyle w:val="Normal"/>
        <w:rPr>
          <w:b/>
          <w:sz w:val="24"/>
        </w:rPr>
      </w:pPr>
      <w:r>
        <w:rPr>
          <w:b/>
          <w:sz w:val="24"/>
        </w:rPr>
        <w:t>2. Limitations of the Current FMC</w:t>
      </w:r>
    </w:p>
    <w:p>
      <w:pPr>
        <w:pStyle w:val="Normal"/>
        <w:rPr>
          <w:b/>
          <w:sz w:val="24"/>
        </w:rPr>
      </w:pPr>
      <w:r>
        <w:rPr>
          <w:b/>
          <w:sz w:val="24"/>
        </w:rPr>
      </w:r>
    </w:p>
    <w:p>
      <w:pPr>
        <w:pStyle w:val="Normal"/>
        <w:rPr>
          <w:sz w:val="24"/>
        </w:rPr>
      </w:pPr>
      <w:r>
        <w:rPr>
          <w:sz w:val="24"/>
        </w:rPr>
        <w:t>Currently curves are only available and accurate(?) for the US Industrial sector. The curve shapes are rather arbitrarily adjusted (traders’ own admission). The relationship between the curves of one rating and another are poorly defined. This means that curves can slide about quite a bit between the rating above and the one below in a fashion that is not explainable in any rational way as due to market sentiment or movement. The movement of the curves themselves from day to day is rather arbitrary. Too many adjustments are required and the model does not sufficiently accurately predict the new daily curve.</w:t>
      </w:r>
    </w:p>
    <w:p>
      <w:pPr>
        <w:pStyle w:val="Normal"/>
        <w:rPr>
          <w:sz w:val="24"/>
        </w:rPr>
      </w:pPr>
      <w:r>
        <w:rPr>
          <w:sz w:val="24"/>
        </w:rPr>
      </w:r>
    </w:p>
    <w:p>
      <w:pPr>
        <w:pStyle w:val="Normal"/>
        <w:rPr>
          <w:b/>
          <w:sz w:val="24"/>
        </w:rPr>
      </w:pPr>
      <w:r>
        <w:rPr>
          <w:b/>
          <w:sz w:val="24"/>
        </w:rPr>
        <w:t>3. Fitting the US Industrial FMC</w:t>
      </w:r>
    </w:p>
    <w:p>
      <w:pPr>
        <w:pStyle w:val="Normal"/>
        <w:rPr>
          <w:b/>
          <w:sz w:val="24"/>
        </w:rPr>
      </w:pPr>
      <w:r>
        <w:rPr>
          <w:b/>
          <w:sz w:val="24"/>
        </w:rPr>
      </w:r>
    </w:p>
    <w:p>
      <w:pPr>
        <w:pStyle w:val="Normal"/>
        <w:rPr>
          <w:sz w:val="24"/>
        </w:rPr>
      </w:pPr>
      <w:r>
        <w:rPr>
          <w:sz w:val="24"/>
        </w:rPr>
        <w:t xml:space="preserve">3.1 Linear Regression on the Logarithm of the CDS </w:t>
      </w:r>
    </w:p>
    <w:p>
      <w:pPr>
        <w:pStyle w:val="Normal"/>
        <w:rPr>
          <w:sz w:val="24"/>
        </w:rPr>
      </w:pPr>
      <w:r>
        <w:rPr>
          <w:sz w:val="24"/>
        </w:rPr>
      </w:r>
    </w:p>
    <w:p>
      <w:pPr>
        <w:pStyle w:val="Normal"/>
        <w:rPr>
          <w:sz w:val="24"/>
        </w:rPr>
      </w:pPr>
      <w:r>
        <w:rPr>
          <w:sz w:val="24"/>
        </w:rPr>
        <w:t>Earlier work on fitting the FMC curve and historically derived FMC curve has indicated that it is possible to fit the market FMC curve with a single exponential function for the investment grade ratings. This being known we decided to reduce the problem to the least number of ratings that would return meaningful results in order to reduce the number of fields required to be checked by the traders. The best fit was found to be obtained when using the investment grade ratings: AAA, AA, A and BBB. From BBB to BBB- there is a noteable break in the slope of the FMC curve in log space. Using the exponential fit provided by the investment grade names curve values were calculated for the ratings BBB-, BB and B-. The difference between the resulting predicted CDS price and the observed FMC CDS price was then fitted as a quadratic in log space. This provides an exact fit to the FMC curves at these last three sub-investment grade ratings since any three points can be exactly fitted by an exponential. The mathematical detail for this fitting is outlined in Appendix A.</w:t>
      </w:r>
    </w:p>
    <w:p>
      <w:pPr>
        <w:pStyle w:val="Normal"/>
        <w:rPr>
          <w:sz w:val="24"/>
        </w:rPr>
      </w:pPr>
      <w:r>
        <w:rPr>
          <w:sz w:val="24"/>
        </w:rPr>
      </w:r>
    </w:p>
    <w:p>
      <w:pPr>
        <w:pStyle w:val="Normal"/>
        <w:rPr>
          <w:sz w:val="24"/>
        </w:rPr>
      </w:pPr>
      <w:r>
        <w:rPr>
          <w:sz w:val="24"/>
        </w:rPr>
        <w:t>For the remaining ratings (AA+, AA-, A+, A-, BBB+, BB+, BB-, B+,  B) the CDS prices are obtained by interpolation with the fitting function. To obtain a better fit it is possible to apply non-integer ratings to shift their price relative to the seven fixed ratings. So for example:</w:t>
      </w:r>
    </w:p>
    <w:p>
      <w:pPr>
        <w:pStyle w:val="Normal"/>
        <w:rPr>
          <w:sz w:val="24"/>
        </w:rPr>
      </w:pPr>
      <w:r>
        <w:rPr>
          <w:sz w:val="24"/>
        </w:rPr>
      </w:r>
    </w:p>
    <w:p>
      <w:pPr>
        <w:pStyle w:val="Normal"/>
        <w:rPr>
          <w:sz w:val="24"/>
          <w:lang w:val="en-CA"/>
        </w:rPr>
      </w:pPr>
      <w:r>
        <w:rPr>
          <w:sz w:val="24"/>
          <w:lang w:val="en-CA"/>
        </w:rPr>
        <w:object w:dxaOrig="3015" w:dyaOrig="489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0pt;margin-top:0pt;width:152.55pt;height:237.95pt;mso-wrap-distance-left:9.05pt;mso-wrap-distance-right:9.05pt;mso-position-horizontal-relative:text;mso-position-vertical-relative:text" filled="f" o:ole="">
            <v:imagedata r:id="rId6" o:title=""/>
            <w10:wrap type="topAndBottom"/>
          </v:shape>
          <o:OLEObject Type="Embed" ProgID="Excel.Sheet.12" ShapeID="ole_rId5" DrawAspect="Content" ObjectID="_171444619" r:id="rId5"/>
        </w:object>
      </w:r>
    </w:p>
    <w:p>
      <w:pPr>
        <w:pStyle w:val="Normal"/>
        <w:rPr>
          <w:sz w:val="24"/>
        </w:rPr>
      </w:pPr>
      <w:r>
        <w:rPr>
          <w:sz w:val="24"/>
        </w:rPr>
        <w:t xml:space="preserve">provides a reasonable fit. This allows the relationship between ratings to be more clearly defined. The remaining tenors (2, 4 yrs) are fit using a quadratic based upon the 1, 3, 5 yrs CDS prices. </w:t>
      </w:r>
    </w:p>
    <w:p>
      <w:pPr>
        <w:pStyle w:val="Normal"/>
        <w:rPr>
          <w:sz w:val="24"/>
        </w:rPr>
      </w:pPr>
      <w:r>
        <w:rPr>
          <w:sz w:val="24"/>
        </w:rPr>
      </w:r>
    </w:p>
    <w:p>
      <w:pPr>
        <w:pStyle w:val="Normal"/>
        <w:rPr>
          <w:rFonts w:ascii="Helv;Arial" w:hAnsi="Helv;Arial" w:cs="Helv;Arial"/>
          <w:color w:val="000000"/>
          <w:lang w:val="en-AU" w:eastAsia="en-US"/>
        </w:rPr>
      </w:pPr>
      <w:r>
        <w:rPr>
          <w:sz w:val="24"/>
        </w:rPr>
        <w:t>The daily procedure for obtaining the curves has been laid out by Marc Phillis in the document titled “FMC Quant Modeller Front End”. A copy is attached below.</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drawing>
          <wp:inline distT="0" distB="0" distL="0" distR="0">
            <wp:extent cx="1507490" cy="46101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24" t="-78" r="-24" b="-78"/>
                    <a:stretch>
                      <a:fillRect/>
                    </a:stretch>
                  </pic:blipFill>
                  <pic:spPr bwMode="auto">
                    <a:xfrm>
                      <a:off x="0" y="0"/>
                      <a:ext cx="1507490" cy="461010"/>
                    </a:xfrm>
                    <a:prstGeom prst="rect">
                      <a:avLst/>
                    </a:prstGeom>
                    <a:noFill/>
                  </pic:spPr>
                </pic:pic>
              </a:graphicData>
            </a:graphic>
          </wp:inline>
        </w:drawing>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r>
        <w:br w:type="page"/>
      </w:r>
    </w:p>
    <w:p>
      <w:pPr>
        <w:pStyle w:val="Normal"/>
        <w:rPr>
          <w:b/>
          <w:sz w:val="24"/>
        </w:rPr>
      </w:pPr>
      <w:r>
        <w:rPr>
          <w:b/>
          <w:sz w:val="24"/>
        </w:rPr>
        <w:t>4. Industry Offsets</w:t>
      </w:r>
    </w:p>
    <w:p>
      <w:pPr>
        <w:pStyle w:val="Normal"/>
        <w:rPr>
          <w:b/>
          <w:sz w:val="24"/>
        </w:rPr>
      </w:pPr>
      <w:r>
        <w:rPr>
          <w:b/>
          <w:sz w:val="24"/>
        </w:rPr>
      </w:r>
    </w:p>
    <w:p>
      <w:pPr>
        <w:pStyle w:val="Normal"/>
        <w:rPr>
          <w:sz w:val="24"/>
        </w:rPr>
      </w:pPr>
      <w:r>
        <w:rPr>
          <w:sz w:val="24"/>
        </w:rPr>
        <w:t>Using asset swap prices (CUSIPs pulled from S&amp;P database) from Bloomberg and mapping each to the Moody’s Portfolio classification it is possible to construct the shape of the credit curve by using the offsets between each Industrial asset swap tenor (prices averaged into 2 year buckets) and the tenor of particular interest. We are advocating using the most liquid rating for each rating, which here we take to be the rating with the most issues. The traders can either opt to take the model values, scale the model values, or impose their own values. The traders or model’s offsets can then be scaled across the other ratings. These offsets are only calculated for the 1, 3, 5-year tenors can be extrapolated to the 2 and 4-year values by constructing a quadratic fit to the three tenors provided</w:t>
      </w:r>
    </w:p>
    <w:p>
      <w:pPr>
        <w:pStyle w:val="Normal"/>
        <w:rPr>
          <w:sz w:val="24"/>
        </w:rPr>
      </w:pPr>
      <w:r>
        <w:rPr>
          <w:sz w:val="24"/>
        </w:rPr>
      </w:r>
    </w:p>
    <w:p>
      <w:pPr>
        <w:pStyle w:val="Normal"/>
        <w:rPr>
          <w:b/>
          <w:sz w:val="24"/>
        </w:rPr>
      </w:pPr>
      <w:r>
        <w:rPr>
          <w:b/>
          <w:sz w:val="24"/>
        </w:rPr>
        <w:t>5. Country Offsets</w:t>
      </w:r>
    </w:p>
    <w:p>
      <w:pPr>
        <w:pStyle w:val="Normal"/>
        <w:rPr>
          <w:b/>
          <w:sz w:val="24"/>
        </w:rPr>
      </w:pPr>
      <w:r>
        <w:rPr>
          <w:b/>
          <w:sz w:val="24"/>
        </w:rPr>
      </w:r>
    </w:p>
    <w:p>
      <w:pPr>
        <w:pStyle w:val="Normal"/>
        <w:rPr>
          <w:sz w:val="24"/>
        </w:rPr>
      </w:pPr>
      <w:r>
        <w:rPr>
          <w:sz w:val="24"/>
        </w:rPr>
        <w:t>Using asset swap prices for international bonds denominated in USD (CUSIPs pulled from S&amp;P database and from Bloomberg) from Bloomberg it is possible to construct the shape of the credit curve. We take each positive asset swap price (averaged in 2yr buckets) as the indicative country offset. We are advocating using the country rating for each curve, which here we take to be the rating with the most issues. The traders can either opt to take the model values, scale the model values, or impose their own values. Each offset is taken as absolute not a relative offset. These offsets are only calculated for the 1, 3, 5-year tenors can be extrapolated to the 2 and 4-year values by constructing a quadratic fit to the three tenors provided.</w:t>
      </w:r>
    </w:p>
    <w:p>
      <w:pPr>
        <w:pStyle w:val="Normal"/>
        <w:rPr>
          <w:sz w:val="24"/>
        </w:rPr>
      </w:pPr>
      <w:r>
        <w:rPr>
          <w:sz w:val="24"/>
        </w:rPr>
      </w:r>
    </w:p>
    <w:p>
      <w:pPr>
        <w:pStyle w:val="Normal"/>
        <w:rPr>
          <w:b/>
          <w:sz w:val="24"/>
        </w:rPr>
      </w:pPr>
      <w:r>
        <w:rPr>
          <w:b/>
          <w:sz w:val="24"/>
        </w:rPr>
        <w:t>6. Conversion of the CDS to Bankruptcy Swap Price</w:t>
      </w:r>
    </w:p>
    <w:p>
      <w:pPr>
        <w:pStyle w:val="Normal"/>
        <w:rPr>
          <w:b/>
          <w:sz w:val="24"/>
        </w:rPr>
      </w:pPr>
      <w:r>
        <w:rPr>
          <w:b/>
          <w:sz w:val="24"/>
        </w:rPr>
      </w:r>
    </w:p>
    <w:p>
      <w:pPr>
        <w:pStyle w:val="Normal"/>
        <w:rPr>
          <w:sz w:val="24"/>
        </w:rPr>
      </w:pPr>
      <w:r>
        <w:rPr>
          <w:sz w:val="24"/>
        </w:rPr>
        <w:t>The equation for converting from the CDS price to the BSD price can be expressed as</w:t>
      </w:r>
    </w:p>
    <w:p>
      <w:pPr>
        <w:pStyle w:val="Normal"/>
        <w:rPr>
          <w:sz w:val="24"/>
        </w:rPr>
      </w:pPr>
      <w:r>
        <w:rPr>
          <w:sz w:val="24"/>
        </w:rPr>
      </w:r>
    </w:p>
    <w:p>
      <w:pPr>
        <w:pStyle w:val="Normal"/>
        <w:rPr/>
      </w:pPr>
      <w:r>
        <w:rPr>
          <w:sz w:val="24"/>
        </w:rPr>
      </w:r>
      <m:oMath xmlns:m="http://schemas.openxmlformats.org/officeDocument/2006/math">
        <m:r>
          <m:rPr>
            <m:lit/>
            <m:nor/>
          </m:rPr>
          <m:t xml:space="preserve">BSD</m:t>
        </m:r>
        <m:r>
          <m:t xml:space="preserve">=</m:t>
        </m:r>
        <m:f>
          <m:num>
            <m:r>
              <m:t xml:space="preserve">(</m:t>
            </m:r>
            <m:r>
              <m:rPr>
                <m:lit/>
                <m:nor/>
              </m:rPr>
              <m:t xml:space="preserve">CDS</m:t>
            </m:r>
            <m:r>
              <m:t xml:space="preserve">−</m:t>
            </m:r>
            <m:r>
              <m:rPr>
                <m:lit/>
                <m:nor/>
              </m:rPr>
              <m:t xml:space="preserve">Liquidity</m:t>
            </m:r>
            <m:r>
              <m:t xml:space="preserve">)</m:t>
            </m:r>
            <m:r>
              <m:t xml:space="preserve">(</m:t>
            </m:r>
            <m:r>
              <m:t xml:space="preserve">1</m:t>
            </m:r>
            <m:r>
              <m:t xml:space="preserve">−</m:t>
            </m:r>
            <m:r>
              <m:rPr>
                <m:lit/>
                <m:nor/>
              </m:rPr>
              <m:t xml:space="preserve">Event</m:t>
            </m:r>
            <m:r>
              <m:t xml:space="preserve">)</m:t>
            </m:r>
          </m:num>
          <m:den>
            <m:r>
              <m:t xml:space="preserve">1</m:t>
            </m:r>
            <m:r>
              <m:t xml:space="preserve">−</m:t>
            </m:r>
            <m:r>
              <m:rPr>
                <m:lit/>
                <m:nor/>
              </m:rPr>
              <m:t xml:space="preserve">Recov</m:t>
            </m:r>
            <m:r>
              <m:rPr>
                <m:lit/>
                <m:nor/>
              </m:rPr>
              <m:t xml:space="preserve">ery</m:t>
            </m:r>
          </m:den>
        </m:f>
        <m:r>
          <m:t xml:space="preserve">+</m:t>
        </m:r>
        <m:r>
          <m:rPr>
            <m:lit/>
            <m:nor/>
          </m:rPr>
          <m:t xml:space="preserve">Liquidity</m:t>
        </m:r>
      </m:oMath>
      <w:r>
        <w:rPr>
          <w:sz w:val="24"/>
        </w:rPr>
        <w:t>.</w:t>
      </w:r>
    </w:p>
    <w:p>
      <w:pPr>
        <w:pStyle w:val="Normal"/>
        <w:rPr>
          <w:sz w:val="24"/>
        </w:rPr>
      </w:pPr>
      <w:r>
        <w:rPr>
          <w:sz w:val="24"/>
        </w:rPr>
        <w:t>Here the event discount is country dependent (Jurisdiction), the recovery is industry dependent, and the liquidity is the sum of the US industrial liquidity (see appendix) and the country and industry liquidity for the name. Currently the event discount is determined to be 15% from historical analysis of the S&amp;P database of defaults.</w:t>
      </w:r>
    </w:p>
    <w:p>
      <w:pPr>
        <w:pStyle w:val="Normal"/>
        <w:rPr>
          <w:sz w:val="24"/>
        </w:rPr>
      </w:pPr>
      <w:r>
        <w:rPr>
          <w:sz w:val="24"/>
        </w:rPr>
      </w:r>
    </w:p>
    <w:p>
      <w:pPr>
        <w:pStyle w:val="Normal"/>
        <w:rPr>
          <w:b/>
          <w:sz w:val="24"/>
        </w:rPr>
      </w:pPr>
      <w:r>
        <w:rPr>
          <w:b/>
          <w:sz w:val="24"/>
        </w:rPr>
        <w:t>7. Portfolio Model Feedback</w:t>
      </w:r>
    </w:p>
    <w:p>
      <w:pPr>
        <w:pStyle w:val="Normal"/>
        <w:rPr>
          <w:b/>
          <w:sz w:val="24"/>
        </w:rPr>
      </w:pPr>
      <w:r>
        <w:rPr>
          <w:b/>
          <w:sz w:val="24"/>
        </w:rPr>
      </w:r>
    </w:p>
    <w:p>
      <w:pPr>
        <w:pStyle w:val="Normal"/>
        <w:rPr>
          <w:sz w:val="24"/>
        </w:rPr>
      </w:pPr>
      <w:r>
        <w:rPr>
          <w:sz w:val="24"/>
        </w:rPr>
        <w:t xml:space="preserve">Including a range of names and credits in a large portfolio model simulation allows calculation of the rate of return given the cost of syndicating our likely distribution of credit exposures. This can be fed back into scaling the FMC curves to meet the requirements of our own required rate of return. The tools for this calculation already exist. </w:t>
      </w:r>
      <w:r>
        <w:br w:type="page"/>
      </w:r>
    </w:p>
    <w:p>
      <w:pPr>
        <w:pStyle w:val="Normal"/>
        <w:rPr>
          <w:sz w:val="24"/>
        </w:rPr>
      </w:pPr>
      <w:r>
        <w:rPr>
          <w:sz w:val="24"/>
        </w:rPr>
      </w:r>
    </w:p>
    <w:p>
      <w:pPr>
        <w:pStyle w:val="Normal"/>
        <w:rPr>
          <w:b/>
          <w:sz w:val="24"/>
        </w:rPr>
      </w:pPr>
      <w:r>
        <w:rPr>
          <w:b/>
          <w:sz w:val="24"/>
        </w:rPr>
        <w:t>8. Some Results</w:t>
      </w:r>
    </w:p>
    <w:p>
      <w:pPr>
        <w:pStyle w:val="Normal"/>
        <w:rPr>
          <w:b/>
          <w:sz w:val="24"/>
        </w:rPr>
      </w:pPr>
      <w:r>
        <w:rPr>
          <w:b/>
          <w:sz w:val="24"/>
        </w:rPr>
      </w:r>
    </w:p>
    <w:p>
      <w:pPr>
        <w:pStyle w:val="Normal"/>
        <w:rPr>
          <w:sz w:val="24"/>
        </w:rPr>
      </w:pPr>
      <w:r>
        <w:rPr>
          <w:sz w:val="24"/>
        </w:rPr>
        <w:t>Below we show some graphs illustrating the likely output of the FMC modeller.</w:t>
      </w:r>
    </w:p>
    <w:p>
      <w:pPr>
        <w:pStyle w:val="Normal"/>
        <w:rPr>
          <w:sz w:val="24"/>
        </w:rPr>
      </w:pPr>
      <w:r>
        <w:rPr>
          <w:sz w:val="24"/>
        </w:rPr>
      </w:r>
    </w:p>
    <w:p>
      <w:pPr>
        <w:pStyle w:val="Normal"/>
        <w:rPr>
          <w:sz w:val="24"/>
        </w:rPr>
      </w:pPr>
      <w:r>
        <w:rPr>
          <w:sz w:val="24"/>
        </w:rPr>
        <w:t>8.1 US Industrial Curves</w:t>
      </w:r>
    </w:p>
    <w:p>
      <w:pPr>
        <w:pStyle w:val="Normal"/>
        <w:rPr>
          <w:sz w:val="24"/>
        </w:rPr>
      </w:pPr>
      <w:r>
        <w:rPr>
          <w:sz w:val="24"/>
        </w:rPr>
      </w:r>
    </w:p>
    <w:p>
      <w:pPr>
        <w:pStyle w:val="Normal"/>
        <w:rPr/>
      </w:pPr>
      <w:r>
        <w:rPr/>
        <w:t>Fitted Curves for 3/11/00 (graph on first page)</w:t>
      </w:r>
    </w:p>
    <w:tbl>
      <w:tblPr>
        <w:tblW w:w="6062"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tblGrid>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rating</w:t>
            </w:r>
          </w:p>
        </w:tc>
        <w:tc>
          <w:tcPr>
            <w:tcW w:w="1011"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tenor(yrs)</w:t>
            </w:r>
          </w:p>
        </w:tc>
        <w:tc>
          <w:tcPr>
            <w:tcW w:w="1010" w:type="dxa"/>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011" w:type="dxa"/>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010" w:type="dxa"/>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010" w:type="dxa"/>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r>
      <w:tr>
        <w:trPr>
          <w:trHeight w:val="247" w:hRule="atLeast"/>
        </w:trPr>
        <w:tc>
          <w:tcPr>
            <w:tcW w:w="1010" w:type="dxa"/>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011" w:type="dxa"/>
            <w:tcBorders/>
            <w:shd w:fill="C0C0C0" w:val="clear"/>
          </w:tcPr>
          <w:p>
            <w:pPr>
              <w:pStyle w:val="Normal"/>
              <w:jc w:val="end"/>
              <w:rPr>
                <w:rFonts w:ascii="Arial" w:hAnsi="Arial" w:cs="Arial"/>
                <w:b/>
                <w:color w:val="000000"/>
                <w:lang w:val="en-AU" w:eastAsia="en-US"/>
              </w:rPr>
            </w:pPr>
            <w:r>
              <w:rPr>
                <w:rFonts w:cs="Arial" w:ascii="Arial" w:hAnsi="Arial"/>
                <w:b/>
                <w:color w:val="000000"/>
                <w:lang w:val="en-AU" w:eastAsia="en-US"/>
              </w:rPr>
              <w:t>1</w:t>
            </w:r>
          </w:p>
        </w:tc>
        <w:tc>
          <w:tcPr>
            <w:tcW w:w="1010" w:type="dxa"/>
            <w:tcBorders/>
            <w:shd w:fill="C0C0C0" w:val="clear"/>
          </w:tcPr>
          <w:p>
            <w:pPr>
              <w:pStyle w:val="Normal"/>
              <w:jc w:val="end"/>
              <w:rPr>
                <w:rFonts w:ascii="Arial" w:hAnsi="Arial" w:cs="Arial"/>
                <w:color w:val="000000"/>
                <w:lang w:val="en-AU" w:eastAsia="en-US"/>
              </w:rPr>
            </w:pPr>
            <w:r>
              <w:rPr>
                <w:rFonts w:cs="Arial" w:ascii="Arial" w:hAnsi="Arial"/>
                <w:color w:val="000000"/>
                <w:lang w:val="en-AU" w:eastAsia="en-US"/>
              </w:rPr>
              <w:t>2</w:t>
            </w:r>
          </w:p>
        </w:tc>
        <w:tc>
          <w:tcPr>
            <w:tcW w:w="1011" w:type="dxa"/>
            <w:tcBorders/>
            <w:shd w:fill="C0C0C0" w:val="clear"/>
          </w:tcPr>
          <w:p>
            <w:pPr>
              <w:pStyle w:val="Normal"/>
              <w:jc w:val="end"/>
              <w:rPr>
                <w:rFonts w:ascii="Arial" w:hAnsi="Arial" w:cs="Arial"/>
                <w:b/>
                <w:color w:val="000000"/>
                <w:lang w:val="en-AU" w:eastAsia="en-US"/>
              </w:rPr>
            </w:pPr>
            <w:r>
              <w:rPr>
                <w:rFonts w:cs="Arial" w:ascii="Arial" w:hAnsi="Arial"/>
                <w:b/>
                <w:color w:val="000000"/>
                <w:lang w:val="en-AU" w:eastAsia="en-US"/>
              </w:rPr>
              <w:t>3</w:t>
            </w:r>
          </w:p>
        </w:tc>
        <w:tc>
          <w:tcPr>
            <w:tcW w:w="1010" w:type="dxa"/>
            <w:tcBorders/>
            <w:shd w:fill="C0C0C0" w:val="clear"/>
          </w:tcPr>
          <w:p>
            <w:pPr>
              <w:pStyle w:val="Normal"/>
              <w:jc w:val="end"/>
              <w:rPr>
                <w:rFonts w:ascii="Arial" w:hAnsi="Arial" w:cs="Arial"/>
                <w:color w:val="000000"/>
                <w:lang w:val="en-AU" w:eastAsia="en-US"/>
              </w:rPr>
            </w:pPr>
            <w:r>
              <w:rPr>
                <w:rFonts w:cs="Arial" w:ascii="Arial" w:hAnsi="Arial"/>
                <w:color w:val="000000"/>
                <w:lang w:val="en-AU" w:eastAsia="en-US"/>
              </w:rPr>
              <w:t>4</w:t>
            </w:r>
          </w:p>
        </w:tc>
        <w:tc>
          <w:tcPr>
            <w:tcW w:w="1010" w:type="dxa"/>
            <w:tcBorders/>
            <w:shd w:fill="C0C0C0" w:val="clear"/>
          </w:tcPr>
          <w:p>
            <w:pPr>
              <w:pStyle w:val="Normal"/>
              <w:jc w:val="end"/>
              <w:rPr>
                <w:rFonts w:ascii="Arial" w:hAnsi="Arial" w:cs="Arial"/>
                <w:b/>
                <w:color w:val="000000"/>
                <w:lang w:val="en-AU" w:eastAsia="en-US"/>
              </w:rPr>
            </w:pPr>
            <w:r>
              <w:rPr>
                <w:rFonts w:cs="Arial" w:ascii="Arial" w:hAnsi="Arial"/>
                <w:b/>
                <w:color w:val="000000"/>
                <w:lang w:val="en-AU" w:eastAsia="en-US"/>
              </w:rPr>
              <w:t>5</w:t>
            </w:r>
          </w:p>
        </w:tc>
      </w:tr>
      <w:tr>
        <w:trPr>
          <w:trHeight w:val="247" w:hRule="atLeast"/>
        </w:trPr>
        <w:tc>
          <w:tcPr>
            <w:tcW w:w="1010" w:type="dxa"/>
            <w:tcBorders/>
            <w:shd w:fill="C0C0C0" w:val="clear"/>
          </w:tcPr>
          <w:p>
            <w:pPr>
              <w:pStyle w:val="Normal"/>
              <w:rPr>
                <w:rFonts w:ascii="Arial" w:hAnsi="Arial" w:cs="Arial"/>
                <w:b/>
                <w:color w:val="FF0000"/>
                <w:lang w:val="en-AU" w:eastAsia="en-US"/>
              </w:rPr>
            </w:pPr>
            <w:r>
              <w:rPr>
                <w:rFonts w:cs="Arial" w:ascii="Arial" w:hAnsi="Arial"/>
                <w:b/>
                <w:color w:val="FF0000"/>
                <w:lang w:val="en-AU" w:eastAsia="en-US"/>
              </w:rPr>
              <w:t>Liquidity</w:t>
            </w:r>
          </w:p>
        </w:tc>
        <w:tc>
          <w:tcPr>
            <w:tcW w:w="1011" w:type="dxa"/>
            <w:tcBorders/>
            <w:shd w:fill="FFFFFF" w:val="clear"/>
          </w:tcPr>
          <w:p>
            <w:pPr>
              <w:pStyle w:val="Normal"/>
              <w:jc w:val="end"/>
              <w:rPr>
                <w:rFonts w:ascii="Arial" w:hAnsi="Arial" w:cs="Arial"/>
                <w:b/>
                <w:color w:val="FF0000"/>
                <w:lang w:val="en-AU" w:eastAsia="en-US"/>
              </w:rPr>
            </w:pPr>
            <w:r>
              <w:rPr>
                <w:rFonts w:cs="Arial" w:ascii="Arial" w:hAnsi="Arial"/>
                <w:b/>
                <w:color w:val="FF0000"/>
                <w:lang w:val="en-AU" w:eastAsia="en-US"/>
              </w:rPr>
              <w:t>7.1</w:t>
            </w:r>
          </w:p>
        </w:tc>
        <w:tc>
          <w:tcPr>
            <w:tcW w:w="1010" w:type="dxa"/>
            <w:tcBorders/>
            <w:shd w:fill="FFFFFF" w:val="clear"/>
          </w:tcPr>
          <w:p>
            <w:pPr>
              <w:pStyle w:val="Normal"/>
              <w:jc w:val="end"/>
              <w:rPr>
                <w:rFonts w:ascii="Arial" w:hAnsi="Arial" w:cs="Arial"/>
                <w:color w:val="FF0000"/>
                <w:lang w:val="en-AU" w:eastAsia="en-US"/>
              </w:rPr>
            </w:pPr>
            <w:r>
              <w:rPr>
                <w:rFonts w:cs="Arial" w:ascii="Arial" w:hAnsi="Arial"/>
                <w:color w:val="FF0000"/>
                <w:lang w:val="en-AU" w:eastAsia="en-US"/>
              </w:rPr>
              <w:t>8.4</w:t>
            </w:r>
          </w:p>
        </w:tc>
        <w:tc>
          <w:tcPr>
            <w:tcW w:w="1011" w:type="dxa"/>
            <w:tcBorders/>
            <w:shd w:fill="FFFFFF" w:val="clear"/>
          </w:tcPr>
          <w:p>
            <w:pPr>
              <w:pStyle w:val="Normal"/>
              <w:jc w:val="end"/>
              <w:rPr>
                <w:rFonts w:ascii="Arial" w:hAnsi="Arial" w:cs="Arial"/>
                <w:b/>
                <w:color w:val="FF0000"/>
                <w:lang w:val="en-AU" w:eastAsia="en-US"/>
              </w:rPr>
            </w:pPr>
            <w:r>
              <w:rPr>
                <w:rFonts w:cs="Arial" w:ascii="Arial" w:hAnsi="Arial"/>
                <w:b/>
                <w:color w:val="FF0000"/>
                <w:lang w:val="en-AU" w:eastAsia="en-US"/>
              </w:rPr>
              <w:t>8.0</w:t>
            </w:r>
          </w:p>
        </w:tc>
        <w:tc>
          <w:tcPr>
            <w:tcW w:w="1010" w:type="dxa"/>
            <w:tcBorders/>
            <w:shd w:fill="FFFFFF" w:val="clear"/>
          </w:tcPr>
          <w:p>
            <w:pPr>
              <w:pStyle w:val="Normal"/>
              <w:jc w:val="end"/>
              <w:rPr>
                <w:rFonts w:ascii="Arial" w:hAnsi="Arial" w:cs="Arial"/>
                <w:color w:val="FF0000"/>
                <w:lang w:val="en-AU" w:eastAsia="en-US"/>
              </w:rPr>
            </w:pPr>
            <w:r>
              <w:rPr>
                <w:rFonts w:cs="Arial" w:ascii="Arial" w:hAnsi="Arial"/>
                <w:color w:val="FF0000"/>
                <w:lang w:val="en-AU" w:eastAsia="en-US"/>
              </w:rPr>
              <w:t>8.4</w:t>
            </w:r>
          </w:p>
        </w:tc>
        <w:tc>
          <w:tcPr>
            <w:tcW w:w="1010" w:type="dxa"/>
            <w:tcBorders/>
            <w:shd w:fill="FFFFFF" w:val="clear"/>
          </w:tcPr>
          <w:p>
            <w:pPr>
              <w:pStyle w:val="Normal"/>
              <w:jc w:val="end"/>
              <w:rPr>
                <w:rFonts w:ascii="Arial" w:hAnsi="Arial" w:cs="Arial"/>
                <w:b/>
                <w:color w:val="FF0000"/>
                <w:lang w:val="en-AU" w:eastAsia="en-US"/>
              </w:rPr>
            </w:pPr>
            <w:r>
              <w:rPr>
                <w:rFonts w:cs="Arial" w:ascii="Arial" w:hAnsi="Arial"/>
                <w:b/>
                <w:color w:val="FF0000"/>
                <w:lang w:val="en-AU" w:eastAsia="en-US"/>
              </w:rPr>
              <w:t>9.6</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AAA</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8.6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9.0</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9.7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10.7</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12.0</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AA+</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12.4</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13.2</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14.2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15.2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16.3</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AA</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17.3</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18.6</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19.8</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20.8</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21.8</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AA-</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20.7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22.8</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24.6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26.1</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27.3</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A+</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29.4</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32.7</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35.4</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37.6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39.3</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A</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33.6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37.2</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40.3</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42.7</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44.6</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A-</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37.6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41.7</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45.3</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48.2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50.6</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BBB+</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64.0</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70.0</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75.5</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80.4</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84.8</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BBB</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74.0</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80.4</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86.4</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91.8</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96.7</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BBB-</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141.3</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149.3</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156.6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163.1</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168.9</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BB+</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259.3</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270.1</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279.7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288.2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295.5</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BB</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279.7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289.2</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298.1</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306.5</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314.4</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BB-</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348.2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358.7</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368.6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378.0</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386.9</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413.7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425.2</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436.1</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446.5</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456.4</w:t>
            </w:r>
          </w:p>
        </w:tc>
      </w:tr>
      <w:tr>
        <w:trPr>
          <w:trHeight w:val="247" w:hRule="atLeast"/>
        </w:trPr>
        <w:tc>
          <w:tcPr>
            <w:tcW w:w="1010" w:type="dxa"/>
            <w:tcBorders/>
            <w:shd w:fill="C0C0C0" w:val="clear"/>
          </w:tcPr>
          <w:p>
            <w:pPr>
              <w:pStyle w:val="Normal"/>
              <w:rPr>
                <w:rFonts w:ascii="Arial" w:hAnsi="Arial" w:cs="Arial"/>
                <w:b/>
                <w:color w:val="000000"/>
                <w:lang w:val="en-AU" w:eastAsia="en-US"/>
              </w:rPr>
            </w:pPr>
            <w:r>
              <w:rPr>
                <w:rFonts w:cs="Arial" w:ascii="Arial" w:hAnsi="Arial"/>
                <w:b/>
                <w:color w:val="000000"/>
                <w:lang w:val="en-AU" w:eastAsia="en-US"/>
              </w:rPr>
              <w:t>B</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450.2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462.1</w:t>
            </w:r>
          </w:p>
        </w:tc>
        <w:tc>
          <w:tcPr>
            <w:tcW w:w="1011"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473.6</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484.5</w:t>
            </w:r>
          </w:p>
        </w:tc>
        <w:tc>
          <w:tcPr>
            <w:tcW w:w="1010" w:type="dxa"/>
            <w:tcBorders/>
            <w:shd w:fill="FFFFFF" w:val="clear"/>
          </w:tcPr>
          <w:p>
            <w:pPr>
              <w:pStyle w:val="Normal"/>
              <w:jc w:val="end"/>
              <w:rPr>
                <w:rFonts w:ascii="Arial" w:hAnsi="Arial" w:cs="Arial"/>
                <w:b/>
                <w:color w:val="000000"/>
                <w:lang w:val="en-AU" w:eastAsia="en-US"/>
              </w:rPr>
            </w:pPr>
            <w:r>
              <w:rPr>
                <w:rFonts w:cs="Arial" w:ascii="Arial" w:hAnsi="Arial"/>
                <w:b/>
                <w:color w:val="000000"/>
                <w:lang w:val="en-AU" w:eastAsia="en-US"/>
              </w:rPr>
              <w:t>494.9</w:t>
            </w:r>
          </w:p>
        </w:tc>
      </w:tr>
      <w:tr>
        <w:trPr>
          <w:trHeight w:val="247" w:hRule="atLeast"/>
        </w:trPr>
        <w:tc>
          <w:tcPr>
            <w:tcW w:w="1010" w:type="dxa"/>
            <w:tcBorders/>
            <w:shd w:fill="C0C0C0" w:val="clear"/>
          </w:tcPr>
          <w:p>
            <w:pPr>
              <w:pStyle w:val="Normal"/>
              <w:rPr>
                <w:rFonts w:ascii="Arial" w:hAnsi="Arial" w:cs="Arial"/>
                <w:color w:val="000000"/>
                <w:lang w:val="en-AU" w:eastAsia="en-US"/>
              </w:rPr>
            </w:pPr>
            <w:r>
              <w:rPr>
                <w:rFonts w:cs="Arial" w:ascii="Arial" w:hAnsi="Arial"/>
                <w:color w:val="000000"/>
                <w:lang w:val="en-AU" w:eastAsia="en-US"/>
              </w:rPr>
              <w:t>B-</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604.7</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619.3</w:t>
            </w:r>
          </w:p>
        </w:tc>
        <w:tc>
          <w:tcPr>
            <w:tcW w:w="1011"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633.2</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646.5</w:t>
            </w:r>
          </w:p>
        </w:tc>
        <w:tc>
          <w:tcPr>
            <w:tcW w:w="1010" w:type="dxa"/>
            <w:tcBorders/>
            <w:shd w:fill="FFFFFF" w:val="clear"/>
          </w:tcPr>
          <w:p>
            <w:pPr>
              <w:pStyle w:val="Normal"/>
              <w:jc w:val="end"/>
              <w:rPr>
                <w:rFonts w:ascii="Arial" w:hAnsi="Arial" w:cs="Arial"/>
                <w:color w:val="000000"/>
                <w:lang w:val="en-AU" w:eastAsia="en-US"/>
              </w:rPr>
            </w:pPr>
            <w:r>
              <w:rPr>
                <w:rFonts w:cs="Arial" w:ascii="Arial" w:hAnsi="Arial"/>
                <w:color w:val="000000"/>
                <w:lang w:val="en-AU" w:eastAsia="en-US"/>
              </w:rPr>
              <w:t>659.1</w:t>
            </w:r>
          </w:p>
        </w:tc>
      </w:tr>
    </w:tbl>
    <w:p>
      <w:pPr>
        <w:pStyle w:val="Normal"/>
        <w:rPr>
          <w:sz w:val="24"/>
        </w:rPr>
      </w:pPr>
      <w:r>
        <w:rPr>
          <w:sz w:val="24"/>
        </w:rPr>
      </w:r>
    </w:p>
    <w:p>
      <w:pPr>
        <w:pStyle w:val="Normal"/>
        <w:rPr>
          <w:sz w:val="24"/>
        </w:rPr>
      </w:pPr>
      <w:r>
        <w:rPr>
          <w:sz w:val="24"/>
        </w:rPr>
        <w:t>Compare this with traders values (unfitted)</w:t>
      </w:r>
    </w:p>
    <w:p>
      <w:pPr>
        <w:pStyle w:val="Normal"/>
        <w:rPr>
          <w:sz w:val="24"/>
        </w:rPr>
      </w:pPr>
      <w:r>
        <w:rPr>
          <w:sz w:val="24"/>
        </w:rPr>
      </w:r>
    </w:p>
    <w:tbl>
      <w:tblPr>
        <w:tblW w:w="6062"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tblGrid>
      <w:tr>
        <w:trPr>
          <w:trHeight w:val="247" w:hRule="atLeast"/>
        </w:trPr>
        <w:tc>
          <w:tcPr>
            <w:tcW w:w="1010" w:type="dxa"/>
            <w:tcBorders/>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011" w:type="dxa"/>
            <w:tcBorders/>
          </w:tcPr>
          <w:p>
            <w:pPr>
              <w:pStyle w:val="Normal"/>
              <w:jc w:val="end"/>
              <w:rPr>
                <w:rFonts w:ascii="Arial" w:hAnsi="Arial" w:cs="Arial"/>
                <w:b/>
                <w:color w:val="000000"/>
                <w:lang w:val="en-AU" w:eastAsia="en-US"/>
              </w:rPr>
            </w:pPr>
            <w:r>
              <w:rPr>
                <w:rFonts w:cs="Arial" w:ascii="Arial" w:hAnsi="Arial"/>
                <w:b/>
                <w:color w:val="000000"/>
                <w:lang w:val="en-AU" w:eastAsia="en-US"/>
              </w:rPr>
              <w:t>1</w:t>
            </w:r>
          </w:p>
        </w:tc>
        <w:tc>
          <w:tcPr>
            <w:tcW w:w="1010" w:type="dxa"/>
            <w:tcBorders/>
          </w:tcPr>
          <w:p>
            <w:pPr>
              <w:pStyle w:val="Normal"/>
              <w:jc w:val="end"/>
              <w:rPr>
                <w:rFonts w:ascii="Arial" w:hAnsi="Arial" w:cs="Arial"/>
                <w:b/>
                <w:color w:val="000000"/>
                <w:lang w:val="en-AU" w:eastAsia="en-US"/>
              </w:rPr>
            </w:pPr>
            <w:r>
              <w:rPr>
                <w:rFonts w:cs="Arial" w:ascii="Arial" w:hAnsi="Arial"/>
                <w:b/>
                <w:color w:val="000000"/>
                <w:lang w:val="en-AU" w:eastAsia="en-US"/>
              </w:rPr>
              <w:t>2</w:t>
            </w:r>
          </w:p>
        </w:tc>
        <w:tc>
          <w:tcPr>
            <w:tcW w:w="1011" w:type="dxa"/>
            <w:tcBorders/>
          </w:tcPr>
          <w:p>
            <w:pPr>
              <w:pStyle w:val="Normal"/>
              <w:jc w:val="end"/>
              <w:rPr>
                <w:rFonts w:ascii="Arial" w:hAnsi="Arial" w:cs="Arial"/>
                <w:b/>
                <w:color w:val="000000"/>
                <w:lang w:val="en-AU" w:eastAsia="en-US"/>
              </w:rPr>
            </w:pPr>
            <w:r>
              <w:rPr>
                <w:rFonts w:cs="Arial" w:ascii="Arial" w:hAnsi="Arial"/>
                <w:b/>
                <w:color w:val="000000"/>
                <w:lang w:val="en-AU" w:eastAsia="en-US"/>
              </w:rPr>
              <w:t>3</w:t>
            </w:r>
          </w:p>
        </w:tc>
        <w:tc>
          <w:tcPr>
            <w:tcW w:w="1010" w:type="dxa"/>
            <w:tcBorders/>
          </w:tcPr>
          <w:p>
            <w:pPr>
              <w:pStyle w:val="Normal"/>
              <w:jc w:val="end"/>
              <w:rPr>
                <w:rFonts w:ascii="Arial" w:hAnsi="Arial" w:cs="Arial"/>
                <w:b/>
                <w:color w:val="000000"/>
                <w:lang w:val="en-AU" w:eastAsia="en-US"/>
              </w:rPr>
            </w:pPr>
            <w:r>
              <w:rPr>
                <w:rFonts w:cs="Arial" w:ascii="Arial" w:hAnsi="Arial"/>
                <w:b/>
                <w:color w:val="000000"/>
                <w:lang w:val="en-AU" w:eastAsia="en-US"/>
              </w:rPr>
              <w:t>4</w:t>
            </w:r>
          </w:p>
        </w:tc>
        <w:tc>
          <w:tcPr>
            <w:tcW w:w="1010" w:type="dxa"/>
            <w:tcBorders/>
          </w:tcPr>
          <w:p>
            <w:pPr>
              <w:pStyle w:val="Normal"/>
              <w:jc w:val="end"/>
              <w:rPr>
                <w:rFonts w:ascii="Arial" w:hAnsi="Arial" w:cs="Arial"/>
                <w:b/>
                <w:color w:val="000000"/>
                <w:lang w:val="en-AU" w:eastAsia="en-US"/>
              </w:rPr>
            </w:pPr>
            <w:r>
              <w:rPr>
                <w:rFonts w:cs="Arial" w:ascii="Arial" w:hAnsi="Arial"/>
                <w:b/>
                <w:color w:val="000000"/>
                <w:lang w:val="en-AU" w:eastAsia="en-US"/>
              </w:rPr>
              <w:t>5</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AAA</w:t>
            </w:r>
          </w:p>
        </w:tc>
        <w:tc>
          <w:tcPr>
            <w:tcW w:w="1011" w:type="dxa"/>
            <w:tcBorders>
              <w:top w:val="single" w:sz="4" w:space="0" w:color="000000"/>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7.6</w:t>
            </w:r>
          </w:p>
        </w:tc>
        <w:tc>
          <w:tcPr>
            <w:tcW w:w="1010" w:type="dxa"/>
            <w:tcBorders>
              <w:top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8.3</w:t>
            </w:r>
          </w:p>
        </w:tc>
        <w:tc>
          <w:tcPr>
            <w:tcW w:w="1011" w:type="dxa"/>
            <w:tcBorders>
              <w:top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8.7</w:t>
            </w:r>
          </w:p>
        </w:tc>
        <w:tc>
          <w:tcPr>
            <w:tcW w:w="1010" w:type="dxa"/>
            <w:tcBorders>
              <w:top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10</w:t>
            </w:r>
          </w:p>
        </w:tc>
        <w:tc>
          <w:tcPr>
            <w:tcW w:w="1010" w:type="dxa"/>
            <w:tcBorders>
              <w:top w:val="single" w:sz="4" w:space="0" w:color="000000"/>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11</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AA+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10</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11.2</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13.9</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14.5</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15.5</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AA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16</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17</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18.5</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19.5</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20.5</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AA-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24</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25</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28.4</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30</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31</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28</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28.1</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34.6</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36</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37.9</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32</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34.5</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38.7</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41</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43</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A-</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44</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46</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51</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54</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56</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63.5</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68.6</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72.3</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77.6</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79.1</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BBB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73.4</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80.1</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85.8</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93.1</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96.1</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141.3</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150.9</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156.6</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163.9</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168.9</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202.2</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209.8</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215.5</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224.7</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231.7</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279.6</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289.3</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298</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308.2</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314.3</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323.3</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331.3</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340.3</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348.1</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353.7</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375.8</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385.4</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394.9</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405.1</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411.3</w:t>
            </w:r>
          </w:p>
        </w:tc>
      </w:tr>
      <w:tr>
        <w:trPr>
          <w:trHeight w:val="247" w:hRule="atLeast"/>
        </w:trPr>
        <w:tc>
          <w:tcPr>
            <w:tcW w:w="1010" w:type="dxa"/>
            <w:tcBorders/>
          </w:tcPr>
          <w:p>
            <w:pPr>
              <w:pStyle w:val="Normal"/>
              <w:rPr>
                <w:rFonts w:ascii="Arial" w:hAnsi="Arial" w:cs="Arial"/>
                <w:b/>
                <w:color w:val="000000"/>
                <w:lang w:val="en-AU" w:eastAsia="en-US"/>
              </w:rPr>
            </w:pPr>
            <w:r>
              <w:rPr>
                <w:rFonts w:cs="Arial" w:ascii="Arial" w:hAnsi="Arial"/>
                <w:b/>
                <w:color w:val="000000"/>
                <w:lang w:val="en-AU" w:eastAsia="en-US"/>
              </w:rPr>
              <w:t>B</w:t>
            </w:r>
          </w:p>
        </w:tc>
        <w:tc>
          <w:tcPr>
            <w:tcW w:w="1011" w:type="dxa"/>
            <w:tcBorders>
              <w:start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449.5</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459.5</w:t>
            </w:r>
          </w:p>
        </w:tc>
        <w:tc>
          <w:tcPr>
            <w:tcW w:w="1011" w:type="dxa"/>
            <w:tcBorders/>
          </w:tcPr>
          <w:p>
            <w:pPr>
              <w:pStyle w:val="Normal"/>
              <w:jc w:val="end"/>
              <w:rPr>
                <w:rFonts w:ascii="Arial" w:hAnsi="Arial" w:cs="Arial"/>
                <w:color w:val="000000"/>
                <w:lang w:val="en-AU" w:eastAsia="en-US"/>
              </w:rPr>
            </w:pPr>
            <w:r>
              <w:rPr>
                <w:rFonts w:cs="Arial" w:ascii="Arial" w:hAnsi="Arial"/>
                <w:color w:val="000000"/>
                <w:lang w:val="en-AU" w:eastAsia="en-US"/>
              </w:rPr>
              <w:t>470.1</w:t>
            </w:r>
          </w:p>
        </w:tc>
        <w:tc>
          <w:tcPr>
            <w:tcW w:w="1010" w:type="dxa"/>
            <w:tcBorders/>
          </w:tcPr>
          <w:p>
            <w:pPr>
              <w:pStyle w:val="Normal"/>
              <w:jc w:val="end"/>
              <w:rPr>
                <w:rFonts w:ascii="Arial" w:hAnsi="Arial" w:cs="Arial"/>
                <w:color w:val="000000"/>
                <w:lang w:val="en-AU" w:eastAsia="en-US"/>
              </w:rPr>
            </w:pPr>
            <w:r>
              <w:rPr>
                <w:rFonts w:cs="Arial" w:ascii="Arial" w:hAnsi="Arial"/>
                <w:color w:val="000000"/>
                <w:lang w:val="en-AU" w:eastAsia="en-US"/>
              </w:rPr>
              <w:t>479.3</w:t>
            </w:r>
          </w:p>
        </w:tc>
        <w:tc>
          <w:tcPr>
            <w:tcW w:w="1010" w:type="dxa"/>
            <w:tcBorders>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487.3</w:t>
            </w:r>
          </w:p>
        </w:tc>
      </w:tr>
      <w:tr>
        <w:trPr>
          <w:trHeight w:val="247" w:hRule="atLeast"/>
        </w:trPr>
        <w:tc>
          <w:tcPr>
            <w:tcW w:w="1010" w:type="dxa"/>
            <w:tcBorders/>
          </w:tcPr>
          <w:p>
            <w:pPr>
              <w:pStyle w:val="Normal"/>
              <w:rPr>
                <w:rFonts w:ascii="Arial" w:hAnsi="Arial" w:cs="Arial"/>
                <w:color w:val="000000"/>
                <w:lang w:val="en-AU" w:eastAsia="en-US"/>
              </w:rPr>
            </w:pPr>
            <w:r>
              <w:rPr>
                <w:rFonts w:cs="Arial" w:ascii="Arial" w:hAnsi="Arial"/>
                <w:color w:val="000000"/>
                <w:lang w:val="en-AU" w:eastAsia="en-US"/>
              </w:rPr>
              <w:t>B-</w:t>
            </w:r>
          </w:p>
        </w:tc>
        <w:tc>
          <w:tcPr>
            <w:tcW w:w="1011" w:type="dxa"/>
            <w:tcBorders>
              <w:start w:val="single" w:sz="4" w:space="0" w:color="000000"/>
              <w:bottom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604.7</w:t>
            </w:r>
          </w:p>
        </w:tc>
        <w:tc>
          <w:tcPr>
            <w:tcW w:w="1010" w:type="dxa"/>
            <w:tcBorders>
              <w:bottom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620.1</w:t>
            </w:r>
          </w:p>
        </w:tc>
        <w:tc>
          <w:tcPr>
            <w:tcW w:w="1011" w:type="dxa"/>
            <w:tcBorders>
              <w:bottom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633.2</w:t>
            </w:r>
          </w:p>
        </w:tc>
        <w:tc>
          <w:tcPr>
            <w:tcW w:w="1010" w:type="dxa"/>
            <w:tcBorders>
              <w:bottom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647.9</w:t>
            </w:r>
          </w:p>
        </w:tc>
        <w:tc>
          <w:tcPr>
            <w:tcW w:w="1010" w:type="dxa"/>
            <w:tcBorders>
              <w:bottom w:val="single" w:sz="4" w:space="0" w:color="000000"/>
              <w:end w:val="single" w:sz="4"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659.1</w:t>
            </w:r>
          </w:p>
        </w:tc>
      </w:tr>
    </w:tbl>
    <w:p>
      <w:pPr>
        <w:pStyle w:val="Normal"/>
        <w:rPr>
          <w:sz w:val="24"/>
        </w:rPr>
      </w:pPr>
      <w:r>
        <w:rPr>
          <w:sz w:val="24"/>
        </w:rPr>
      </w:r>
    </w:p>
    <w:p>
      <w:pPr>
        <w:pStyle w:val="Normal"/>
        <w:rPr>
          <w:sz w:val="24"/>
        </w:rPr>
      </w:pPr>
      <w:r>
        <w:rPr>
          <w:sz w:val="24"/>
        </w:rPr>
        <w:t>Playing with the numeric equivalent ratings here could potentially improve the fit.</w:t>
      </w:r>
      <w:r>
        <w:br w:type="page"/>
      </w:r>
    </w:p>
    <w:p>
      <w:pPr>
        <w:pStyle w:val="Normal"/>
        <w:rPr>
          <w:sz w:val="24"/>
        </w:rPr>
      </w:pPr>
      <w:r>
        <w:rPr>
          <w:sz w:val="24"/>
        </w:rPr>
        <w:t>8.2 Industry Offset Example: Telecoms</w:t>
      </w:r>
    </w:p>
    <w:p>
      <w:pPr>
        <w:pStyle w:val="Normal"/>
        <w:rPr>
          <w:sz w:val="24"/>
        </w:rPr>
      </w:pPr>
      <w:r>
        <w:rPr>
          <w:sz w:val="24"/>
        </w:rPr>
      </w:r>
    </w:p>
    <w:p>
      <w:pPr>
        <w:pStyle w:val="Normal"/>
        <w:rPr>
          <w:sz w:val="24"/>
        </w:rPr>
      </w:pPr>
      <w:r>
        <w:rPr>
          <w:sz w:val="24"/>
        </w:rPr>
        <w:t>Note: There were insufficient AA3 Industrials to allow a comparison of the most liquid rating and so the A1 rating was used. The relative offset would be approximately 1.33% in this instance. This would be scaled across the other Industrial FMC curves to obtain the Telecom offsets.</w:t>
      </w:r>
    </w:p>
    <w:p>
      <w:pPr>
        <w:pStyle w:val="Normal"/>
        <w:rPr>
          <w:sz w:val="24"/>
        </w:rPr>
      </w:pPr>
      <w:r>
        <w:rPr>
          <w:sz w:val="24"/>
        </w:rPr>
      </w:r>
    </w:p>
    <w:p>
      <w:pPr>
        <w:pStyle w:val="Normal"/>
        <w:rPr>
          <w:sz w:val="24"/>
        </w:rPr>
      </w:pPr>
      <w:r>
        <w:rPr>
          <w:sz w:val="24"/>
        </w:rPr>
        <w:object w:dxaOrig="7680" w:dyaOrig="486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0pt;margin-top:0pt;width:395.25pt;height:242.25pt;mso-wrap-distance-left:9.05pt;mso-wrap-distance-right:9.05pt;mso-position-horizontal-relative:text;mso-position-vertical-relative:text" filled="f" o:ole="">
            <v:imagedata r:id="rId9" o:title=""/>
            <w10:wrap type="topAndBottom"/>
          </v:shape>
          <o:OLEObject Type="Embed" ProgID="Excel.Sheet.12" ShapeID="ole_rId8" DrawAspect="Content" ObjectID="_960503124" r:id="rId8"/>
        </w:object>
      </w:r>
    </w:p>
    <w:p>
      <w:pPr>
        <w:pStyle w:val="Normal"/>
        <w:rPr>
          <w:sz w:val="24"/>
        </w:rPr>
      </w:pPr>
      <w:r>
        <w:rPr>
          <w:sz w:val="24"/>
        </w:rPr>
      </w:r>
    </w:p>
    <w:p>
      <w:pPr>
        <w:pStyle w:val="Normal"/>
        <w:rPr>
          <w:sz w:val="24"/>
        </w:rPr>
      </w:pPr>
      <w:r>
        <w:rPr>
          <w:sz w:val="24"/>
        </w:rPr>
        <w:t>8.3 Country Offset Example: Turkey</w:t>
      </w:r>
    </w:p>
    <w:p>
      <w:pPr>
        <w:pStyle w:val="Normal"/>
        <w:rPr>
          <w:sz w:val="24"/>
        </w:rPr>
      </w:pPr>
      <w:r>
        <w:rPr>
          <w:sz w:val="24"/>
        </w:rPr>
      </w:r>
    </w:p>
    <w:p>
      <w:pPr>
        <w:pStyle w:val="Normal"/>
        <w:rPr>
          <w:sz w:val="24"/>
        </w:rPr>
      </w:pPr>
      <w:r>
        <w:object w:dxaOrig="7681" w:dyaOrig="409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6pt;margin-top:18pt;width:357.75pt;height:204.75pt;mso-wrap-distance-left:9.05pt;mso-wrap-distance-right:9.05pt;mso-position-horizontal-relative:text;mso-position-vertical-relative:text" filled="f" o:ole="">
            <v:imagedata r:id="rId11" o:title=""/>
            <w10:wrap type="topAndBottom"/>
          </v:shape>
          <o:OLEObject Type="Embed" ProgID="Excel.Sheet.12" ShapeID="ole_rId10" DrawAspect="Content" ObjectID="_280903601" r:id="rId10"/>
        </w:object>
      </w:r>
      <w:r>
        <w:rPr>
          <w:sz w:val="24"/>
        </w:rPr>
        <w:t>(Note only one international bond in each two-year bucket)</w:t>
      </w:r>
    </w:p>
    <w:p>
      <w:pPr>
        <w:pStyle w:val="Normal"/>
        <w:rPr>
          <w:sz w:val="24"/>
        </w:rPr>
      </w:pPr>
      <w:r>
        <w:rPr>
          <w:sz w:val="24"/>
        </w:rPr>
      </w:r>
    </w:p>
    <w:p>
      <w:pPr>
        <w:pStyle w:val="Normal"/>
        <w:rPr>
          <w:sz w:val="24"/>
        </w:rPr>
      </w:pPr>
      <w:r>
        <w:rPr>
          <w:sz w:val="24"/>
        </w:rPr>
        <w:t>Data is available for approximately 50% of countries listed in Bloomberg. Data is a real issue here. In the future we will need to look at either a quote system from the traders market information or at other sources such as FX basis swap prices, or a combination of all three. I have taken the view at present that any data is better than no data at all.</w:t>
      </w:r>
    </w:p>
    <w:p>
      <w:pPr>
        <w:pStyle w:val="Normal"/>
        <w:rPr>
          <w:sz w:val="24"/>
        </w:rPr>
      </w:pPr>
      <w:r>
        <w:rPr>
          <w:sz w:val="24"/>
        </w:rPr>
      </w:r>
    </w:p>
    <w:p>
      <w:pPr>
        <w:pStyle w:val="Normal"/>
        <w:rPr>
          <w:b/>
          <w:sz w:val="24"/>
        </w:rPr>
      </w:pPr>
      <w:r>
        <w:rPr>
          <w:b/>
          <w:sz w:val="24"/>
        </w:rPr>
        <w:t>9. Conclusions and Other Thoughts</w:t>
      </w:r>
    </w:p>
    <w:p>
      <w:pPr>
        <w:pStyle w:val="Normal"/>
        <w:rPr>
          <w:b/>
          <w:sz w:val="24"/>
        </w:rPr>
      </w:pPr>
      <w:r>
        <w:rPr>
          <w:b/>
          <w:sz w:val="24"/>
        </w:rPr>
      </w:r>
    </w:p>
    <w:p>
      <w:pPr>
        <w:pStyle w:val="BodyText"/>
        <w:rPr/>
      </w:pPr>
      <w:r>
        <w:rPr/>
        <w:t>The FMC curves meet the requirements set out in section 1. Further required modifications will undoubtedly become apparent once the curves are up and in use. The requirements for data is huge while the actual data is sparse.</w:t>
      </w:r>
    </w:p>
    <w:p>
      <w:pPr>
        <w:pStyle w:val="Normal"/>
        <w:rPr>
          <w:sz w:val="24"/>
        </w:rPr>
      </w:pPr>
      <w:r>
        <w:rPr>
          <w:sz w:val="24"/>
        </w:rPr>
      </w:r>
    </w:p>
    <w:p>
      <w:pPr>
        <w:pStyle w:val="BodyText"/>
        <w:rPr/>
      </w:pPr>
      <w:r>
        <w:rPr/>
        <w:t xml:space="preserve">On day one when the system is switched on it will be necessary to apply corrections so that the average offset of each name to its relevant rating bucket is zero. At present a positive systemic offset is observed between reference names and the US industry curves. </w:t>
      </w:r>
    </w:p>
    <w:p>
      <w:pPr>
        <w:pStyle w:val="BodyText"/>
        <w:rPr/>
      </w:pPr>
      <w:r>
        <w:rPr/>
      </w:r>
    </w:p>
    <w:p>
      <w:pPr>
        <w:pStyle w:val="Normal"/>
        <w:rPr>
          <w:sz w:val="24"/>
        </w:rPr>
      </w:pPr>
      <w:r>
        <w:rPr>
          <w:sz w:val="24"/>
        </w:rPr>
        <w:t>Further refinement into subsidiary and parent company may be deemed necessary. Further model divisions will likely also become apparent.</w:t>
      </w:r>
    </w:p>
    <w:p>
      <w:pPr>
        <w:pStyle w:val="BodyText"/>
        <w:rPr/>
      </w:pPr>
      <w:r>
        <w:rPr/>
        <w:t>Using the asset swap price for country and industry offsets is not ideal. It would be better to use market quotes for benchmarks representative of each industry sector. At present insufficient data exists. It may be possible in future to better model the traders’ corrections.</w:t>
      </w:r>
    </w:p>
    <w:p>
      <w:pPr>
        <w:pStyle w:val="Normal"/>
        <w:rPr>
          <w:sz w:val="24"/>
        </w:rPr>
      </w:pPr>
      <w:r>
        <w:rPr>
          <w:sz w:val="24"/>
        </w:rPr>
      </w:r>
    </w:p>
    <w:p>
      <w:pPr>
        <w:pStyle w:val="Normal"/>
        <w:rPr>
          <w:b/>
          <w:sz w:val="32"/>
        </w:rPr>
      </w:pPr>
      <w:r>
        <w:rPr>
          <w:b/>
          <w:sz w:val="32"/>
        </w:rPr>
        <w:t>Appendix A: Maths Behind the Curves</w:t>
      </w:r>
    </w:p>
    <w:p>
      <w:pPr>
        <w:pStyle w:val="Normal"/>
        <w:rPr>
          <w:b/>
          <w:sz w:val="24"/>
        </w:rPr>
      </w:pPr>
      <w:r>
        <w:rPr>
          <w:b/>
          <w:sz w:val="24"/>
        </w:rPr>
      </w:r>
    </w:p>
    <w:p>
      <w:pPr>
        <w:pStyle w:val="Normal"/>
        <w:rPr>
          <w:b/>
          <w:sz w:val="24"/>
        </w:rPr>
      </w:pPr>
      <w:r>
        <w:rPr>
          <w:b/>
          <w:sz w:val="24"/>
        </w:rPr>
        <w:t>A.1 Fitting an exponential relationship</w:t>
      </w:r>
    </w:p>
    <w:p>
      <w:pPr>
        <w:pStyle w:val="Normal"/>
        <w:rPr>
          <w:b/>
          <w:sz w:val="24"/>
        </w:rPr>
      </w:pPr>
      <w:r>
        <w:rPr>
          <w:b/>
          <w:sz w:val="24"/>
        </w:rPr>
      </w:r>
    </w:p>
    <w:p>
      <w:pPr>
        <w:pStyle w:val="Normal"/>
        <w:rPr>
          <w:sz w:val="24"/>
        </w:rPr>
      </w:pPr>
      <w:r>
        <w:rPr>
          <w:sz w:val="24"/>
        </w:rPr>
        <w:t>For a stream of data points:</w:t>
      </w:r>
    </w:p>
    <w:p>
      <w:pPr>
        <w:pStyle w:val="Normal"/>
        <w:rPr>
          <w:sz w:val="24"/>
        </w:rPr>
      </w:pPr>
      <w:r>
        <w:rPr>
          <w:sz w:val="24"/>
        </w:rPr>
      </w:r>
    </w:p>
    <w:p>
      <w:pPr>
        <w:pStyle w:val="Normal"/>
        <w:rPr/>
      </w:pPr>
      <w:r>
        <w:rPr>
          <w:sz w:val="24"/>
        </w:rPr>
      </w:r>
      <m:oMath xmlns:m="http://schemas.openxmlformats.org/officeDocument/2006/math">
        <m:sSub>
          <m:e>
            <m:r>
              <m:t xml:space="preserve">y</m:t>
            </m:r>
          </m:e>
          <m:sub>
            <m:r>
              <m:t xml:space="preserve">i</m:t>
            </m:r>
          </m:sub>
        </m:sSub>
        <m:r>
          <m:t xml:space="preserve">=</m:t>
        </m:r>
        <m:r>
          <m:rPr>
            <m:lit/>
            <m:nor/>
          </m:rPr>
          <m:t xml:space="preserve">CDS</m:t>
        </m:r>
        <m:r>
          <m:t xml:space="preserve">(</m:t>
        </m:r>
        <m:r>
          <m:t xml:space="preserve">i</m:t>
        </m:r>
        <m:r>
          <m:t xml:space="preserve">)</m:t>
        </m:r>
      </m:oMath>
      <w:r>
        <w:rPr>
          <w:sz w:val="24"/>
        </w:rPr>
        <w:t xml:space="preserve">, whose relationship approximates to that of an exponential function, first take the natural log of both sides to obtain </w:t>
      </w:r>
      <w:r>
        <w:rPr>
          <w:sz w:val="24"/>
        </w:rPr>
      </w:r>
      <m:oMath xmlns:m="http://schemas.openxmlformats.org/officeDocument/2006/math">
        <m:r>
          <m:t xml:space="preserve">z</m:t>
        </m:r>
        <m:r>
          <m:t xml:space="preserve">(</m:t>
        </m:r>
        <m:r>
          <m:t xml:space="preserve">i</m:t>
        </m:r>
        <m:r>
          <m:t xml:space="preserve">)</m:t>
        </m:r>
        <m:r>
          <m:t xml:space="preserve">=</m:t>
        </m:r>
        <m:r>
          <m:rPr>
            <m:lit/>
            <m:nor/>
          </m:rPr>
          <m:t xml:space="preserve">ln</m:t>
        </m:r>
        <m:d>
          <m:dPr>
            <m:begChr m:val="{"/>
            <m:endChr m:val="}"/>
          </m:dPr>
          <m:e>
            <m:r>
              <m:rPr>
                <m:lit/>
                <m:nor/>
              </m:rPr>
              <m:t xml:space="preserve">CDS</m:t>
            </m:r>
            <m:r>
              <m:t xml:space="preserve">(</m:t>
            </m:r>
            <m:r>
              <m:t xml:space="preserve">i</m:t>
            </m:r>
            <m:r>
              <m:t xml:space="preserve">)</m:t>
            </m:r>
          </m:e>
        </m:d>
      </m:oMath>
      <w:r>
        <w:rPr>
          <w:sz w:val="24"/>
        </w:rPr>
        <w:t>, the apply least squares fitting to the resulting dataset:</w:t>
      </w:r>
    </w:p>
    <w:p>
      <w:pPr>
        <w:pStyle w:val="Normal"/>
        <w:rPr>
          <w:sz w:val="24"/>
        </w:rPr>
      </w:pPr>
      <w:r>
        <w:rPr>
          <w:sz w:val="24"/>
        </w:rPr>
      </w:r>
    </w:p>
    <w:p>
      <w:pPr>
        <w:pStyle w:val="Normal"/>
        <w:rPr/>
      </w:pPr>
      <w:r>
        <w:rPr>
          <w:sz w:val="24"/>
        </w:rPr>
        <w:t xml:space="preserve">Letting </w:t>
      </w:r>
      <w:r>
        <w:rPr>
          <w:sz w:val="24"/>
        </w:rPr>
      </w:r>
      <m:oMath xmlns:m="http://schemas.openxmlformats.org/officeDocument/2006/math">
        <m:r>
          <m:rPr>
            <m:lit/>
            <m:nor/>
          </m:rPr>
          <m:t xml:space="preserve">ax</m:t>
        </m:r>
        <m:r>
          <m:t xml:space="preserve">(</m:t>
        </m:r>
        <m:r>
          <m:t xml:space="preserve">i</m:t>
        </m:r>
        <m:r>
          <m:t xml:space="preserve">)</m:t>
        </m:r>
        <m:r>
          <m:t xml:space="preserve">+</m:t>
        </m:r>
        <m:r>
          <m:t xml:space="preserve">b</m:t>
        </m:r>
      </m:oMath>
      <w:r>
        <w:rPr>
          <w:sz w:val="24"/>
        </w:rPr>
        <w:t xml:space="preserve">, denote the ith value on the approximating line and the given </w:t>
      </w:r>
      <w:r>
        <w:rPr>
          <w:sz w:val="24"/>
        </w:rPr>
      </w:r>
      <m:oMath xmlns:m="http://schemas.openxmlformats.org/officeDocument/2006/math">
        <m:r>
          <m:t xml:space="preserve">z</m:t>
        </m:r>
        <m:r>
          <m:t xml:space="preserve">(</m:t>
        </m:r>
        <m:r>
          <m:t xml:space="preserve">i</m:t>
        </m:r>
        <m:r>
          <m:t xml:space="preserve">)</m:t>
        </m:r>
      </m:oMath>
      <w:r>
        <w:rPr>
          <w:sz w:val="24"/>
        </w:rPr>
        <w:t xml:space="preserve">the ith given z-value requires that constants </w:t>
      </w:r>
      <w:r>
        <w:rPr>
          <w:i/>
          <w:sz w:val="24"/>
        </w:rPr>
        <w:t xml:space="preserve">a </w:t>
      </w:r>
      <w:r>
        <w:rPr>
          <w:sz w:val="24"/>
        </w:rPr>
        <w:t xml:space="preserve">and </w:t>
      </w:r>
      <w:r>
        <w:rPr>
          <w:i/>
          <w:sz w:val="24"/>
        </w:rPr>
        <w:t xml:space="preserve">b </w:t>
      </w:r>
      <w:r>
        <w:rPr>
          <w:sz w:val="24"/>
        </w:rPr>
        <w:t>be found that minimise the least squares error:</w:t>
      </w:r>
    </w:p>
    <w:p>
      <w:pPr>
        <w:pStyle w:val="Normal"/>
        <w:rPr>
          <w:sz w:val="24"/>
        </w:rPr>
      </w:pPr>
      <w:r>
        <w:rPr>
          <w:sz w:val="24"/>
        </w:rPr>
      </w:r>
    </w:p>
    <w:p>
      <w:pPr>
        <w:pStyle w:val="Normal"/>
        <w:rPr/>
      </w:pPr>
      <w:r>
        <w:rPr>
          <w:sz w:val="24"/>
        </w:rPr>
      </w:r>
      <m:oMath xmlns:m="http://schemas.openxmlformats.org/officeDocument/2006/math">
        <m:nary>
          <m:naryPr>
            <m:chr m:val="∑"/>
          </m:naryPr>
          <m:sub>
            <m:r>
              <m:t xml:space="preserve">i</m:t>
            </m:r>
            <m:r>
              <m:t xml:space="preserve">=</m:t>
            </m:r>
            <m:r>
              <m:t xml:space="preserve">1</m:t>
            </m:r>
          </m:sub>
          <m:sup>
            <m:r>
              <m:t xml:space="preserve">n</m:t>
            </m:r>
          </m:sup>
          <m:e>
            <m:sSup>
              <m:e>
                <m:d>
                  <m:dPr>
                    <m:begChr m:val="["/>
                    <m:endChr m:val="]"/>
                  </m:dPr>
                  <m:e>
                    <m:r>
                      <m:t xml:space="preserve">z</m:t>
                    </m:r>
                    <m:r>
                      <m:t xml:space="preserve">(</m:t>
                    </m:r>
                    <m:r>
                      <m:t xml:space="preserve">i</m:t>
                    </m:r>
                    <m:r>
                      <m:t xml:space="preserve">)</m:t>
                    </m:r>
                    <m:r>
                      <m:t xml:space="preserve">−</m:t>
                    </m:r>
                    <m:r>
                      <m:t xml:space="preserve">(</m:t>
                    </m:r>
                    <m:r>
                      <m:rPr>
                        <m:lit/>
                        <m:nor/>
                      </m:rPr>
                      <m:t xml:space="preserve">ax</m:t>
                    </m:r>
                    <m:r>
                      <m:t xml:space="preserve">(</m:t>
                    </m:r>
                    <m:r>
                      <m:t xml:space="preserve">i</m:t>
                    </m:r>
                    <m:r>
                      <m:t xml:space="preserve">)</m:t>
                    </m:r>
                    <m:r>
                      <m:t xml:space="preserve">+</m:t>
                    </m:r>
                    <m:r>
                      <m:t xml:space="preserve">b</m:t>
                    </m:r>
                    <m:r>
                      <m:t xml:space="preserve">)</m:t>
                    </m:r>
                  </m:e>
                </m:d>
              </m:e>
              <m:sup>
                <m:r>
                  <m:t xml:space="preserve">2</m:t>
                </m:r>
              </m:sup>
            </m:sSup>
          </m:e>
        </m:nary>
      </m:oMath>
      <w:r>
        <w:rPr>
          <w:sz w:val="24"/>
        </w:rPr>
        <w:t>.</w:t>
      </w:r>
    </w:p>
    <w:p>
      <w:pPr>
        <w:pStyle w:val="Normal"/>
        <w:rPr>
          <w:sz w:val="24"/>
        </w:rPr>
      </w:pPr>
      <w:r>
        <w:rPr>
          <w:sz w:val="24"/>
        </w:rPr>
      </w:r>
    </w:p>
    <w:p>
      <w:pPr>
        <w:pStyle w:val="Normal"/>
        <w:rPr>
          <w:sz w:val="24"/>
        </w:rPr>
      </w:pPr>
      <w:r>
        <w:rPr>
          <w:sz w:val="24"/>
        </w:rPr>
        <w:t xml:space="preserve">To determine the best-linear least-squares approximation for the data points we require that </w:t>
      </w:r>
    </w:p>
    <w:p>
      <w:pPr>
        <w:pStyle w:val="Normal"/>
        <w:rPr/>
      </w:pPr>
      <w:r>
        <w:rPr>
          <w:sz w:val="24"/>
        </w:rPr>
      </w:r>
      <m:oMath xmlns:m="http://schemas.openxmlformats.org/officeDocument/2006/math">
        <m:f>
          <m:num>
            <m:r>
              <m:t xml:space="preserve">∂</m:t>
            </m:r>
          </m:num>
          <m:den>
            <m:r>
              <m:t xml:space="preserve">∂</m:t>
            </m:r>
            <m:r>
              <m:t xml:space="preserve">a</m:t>
            </m:r>
          </m:den>
        </m:f>
        <m:nary>
          <m:naryPr>
            <m:chr m:val="∑"/>
          </m:naryPr>
          <m:sub>
            <m:r>
              <m:t xml:space="preserve">i</m:t>
            </m:r>
            <m:r>
              <m:t xml:space="preserve">=</m:t>
            </m:r>
            <m:r>
              <m:t xml:space="preserve">1</m:t>
            </m:r>
          </m:sub>
          <m:sup>
            <m:r>
              <m:t xml:space="preserve">n</m:t>
            </m:r>
          </m:sup>
          <m:e>
            <m:sSup>
              <m:e>
                <m:d>
                  <m:dPr>
                    <m:begChr m:val="["/>
                    <m:endChr m:val="]"/>
                  </m:dPr>
                  <m:e>
                    <m:r>
                      <m:t xml:space="preserve">z</m:t>
                    </m:r>
                    <m:r>
                      <m:t xml:space="preserve">(</m:t>
                    </m:r>
                    <m:r>
                      <m:t xml:space="preserve">i</m:t>
                    </m:r>
                    <m:r>
                      <m:t xml:space="preserve">)</m:t>
                    </m:r>
                    <m:r>
                      <m:t xml:space="preserve">−</m:t>
                    </m:r>
                    <m:r>
                      <m:t xml:space="preserve">(</m:t>
                    </m:r>
                    <m:r>
                      <m:rPr>
                        <m:lit/>
                        <m:nor/>
                      </m:rPr>
                      <m:t xml:space="preserve">ax</m:t>
                    </m:r>
                    <m:r>
                      <m:t xml:space="preserve">(</m:t>
                    </m:r>
                    <m:r>
                      <m:t xml:space="preserve">i</m:t>
                    </m:r>
                    <m:r>
                      <m:t xml:space="preserve">)</m:t>
                    </m:r>
                    <m:r>
                      <m:t xml:space="preserve">+</m:t>
                    </m:r>
                    <m:r>
                      <m:t xml:space="preserve">b</m:t>
                    </m:r>
                    <m:r>
                      <m:t xml:space="preserve">)</m:t>
                    </m:r>
                  </m:e>
                </m:d>
              </m:e>
              <m:sup>
                <m:r>
                  <m:t xml:space="preserve">2</m:t>
                </m:r>
              </m:sup>
            </m:sSup>
          </m:e>
        </m:nary>
        <m:r>
          <m:t xml:space="preserve">=</m:t>
        </m:r>
        <m:r>
          <m:t xml:space="preserve">0</m:t>
        </m:r>
      </m:oMath>
      <w:r>
        <w:rPr>
          <w:sz w:val="24"/>
        </w:rPr>
        <w:t>.</w:t>
      </w:r>
    </w:p>
    <w:p>
      <w:pPr>
        <w:pStyle w:val="Normal"/>
        <w:rPr/>
      </w:pPr>
      <w:r>
        <w:rPr>
          <w:sz w:val="24"/>
        </w:rPr>
      </w:r>
      <m:oMath xmlns:m="http://schemas.openxmlformats.org/officeDocument/2006/math">
        <m:f>
          <m:num>
            <m:r>
              <m:t xml:space="preserve">∂</m:t>
            </m:r>
          </m:num>
          <m:den>
            <m:r>
              <m:t xml:space="preserve">∂</m:t>
            </m:r>
            <m:r>
              <m:t xml:space="preserve">b</m:t>
            </m:r>
          </m:den>
        </m:f>
        <m:nary>
          <m:naryPr>
            <m:chr m:val="∑"/>
          </m:naryPr>
          <m:sub>
            <m:r>
              <m:t xml:space="preserve">i</m:t>
            </m:r>
            <m:r>
              <m:t xml:space="preserve">=</m:t>
            </m:r>
            <m:r>
              <m:t xml:space="preserve">1</m:t>
            </m:r>
          </m:sub>
          <m:sup>
            <m:r>
              <m:t xml:space="preserve">n</m:t>
            </m:r>
          </m:sup>
          <m:e>
            <m:sSup>
              <m:e>
                <m:d>
                  <m:dPr>
                    <m:begChr m:val="["/>
                    <m:endChr m:val="]"/>
                  </m:dPr>
                  <m:e>
                    <m:r>
                      <m:t xml:space="preserve">z</m:t>
                    </m:r>
                    <m:r>
                      <m:t xml:space="preserve">(</m:t>
                    </m:r>
                    <m:r>
                      <m:t xml:space="preserve">i</m:t>
                    </m:r>
                    <m:r>
                      <m:t xml:space="preserve">)</m:t>
                    </m:r>
                    <m:r>
                      <m:t xml:space="preserve">−</m:t>
                    </m:r>
                    <m:r>
                      <m:t xml:space="preserve">(</m:t>
                    </m:r>
                    <m:r>
                      <m:rPr>
                        <m:lit/>
                        <m:nor/>
                      </m:rPr>
                      <m:t xml:space="preserve">ax</m:t>
                    </m:r>
                    <m:r>
                      <m:t xml:space="preserve">(</m:t>
                    </m:r>
                    <m:r>
                      <m:t xml:space="preserve">i</m:t>
                    </m:r>
                    <m:r>
                      <m:t xml:space="preserve">)</m:t>
                    </m:r>
                    <m:r>
                      <m:t xml:space="preserve">+</m:t>
                    </m:r>
                    <m:r>
                      <m:t xml:space="preserve">b</m:t>
                    </m:r>
                    <m:r>
                      <m:t xml:space="preserve">)</m:t>
                    </m:r>
                  </m:e>
                </m:d>
              </m:e>
              <m:sup>
                <m:r>
                  <m:t xml:space="preserve">2</m:t>
                </m:r>
              </m:sup>
            </m:sSup>
          </m:e>
        </m:nary>
        <m:r>
          <m:t xml:space="preserve">=</m:t>
        </m:r>
        <m:r>
          <m:t xml:space="preserve">0</m:t>
        </m:r>
      </m:oMath>
      <w:r>
        <w:rPr>
          <w:sz w:val="24"/>
        </w:rPr>
        <w:t>.</w:t>
      </w:r>
    </w:p>
    <w:p>
      <w:pPr>
        <w:pStyle w:val="Normal"/>
        <w:rPr>
          <w:sz w:val="24"/>
        </w:rPr>
      </w:pPr>
      <w:r>
        <w:rPr>
          <w:sz w:val="24"/>
        </w:rPr>
      </w:r>
    </w:p>
    <w:p>
      <w:pPr>
        <w:pStyle w:val="Normal"/>
        <w:rPr/>
      </w:pPr>
      <w:r>
        <w:rPr>
          <w:sz w:val="24"/>
        </w:rPr>
        <w:t xml:space="preserve">The solution of these two equations provides a determination of the constants </w:t>
      </w:r>
      <w:r>
        <w:rPr>
          <w:i/>
          <w:sz w:val="24"/>
        </w:rPr>
        <w:t>a</w:t>
      </w:r>
      <w:r>
        <w:rPr>
          <w:sz w:val="24"/>
        </w:rPr>
        <w:t xml:space="preserve"> and </w:t>
      </w:r>
      <w:r>
        <w:rPr>
          <w:i/>
          <w:sz w:val="24"/>
        </w:rPr>
        <w:t>b</w:t>
      </w:r>
      <w:r>
        <w:rPr>
          <w:sz w:val="24"/>
        </w:rPr>
        <w:t xml:space="preserve">. The resulting equation can be written as </w:t>
      </w:r>
    </w:p>
    <w:p>
      <w:pPr>
        <w:pStyle w:val="Normal"/>
        <w:rPr/>
      </w:pPr>
      <w:r>
        <w:rPr>
          <w:sz w:val="24"/>
        </w:rPr>
      </w:r>
      <m:oMath xmlns:m="http://schemas.openxmlformats.org/officeDocument/2006/math">
        <m:r>
          <m:t xml:space="preserve">y</m:t>
        </m:r>
        <m:r>
          <m:t xml:space="preserve">=</m:t>
        </m:r>
        <m:r>
          <m:rPr>
            <m:lit/>
            <m:nor/>
          </m:rPr>
          <m:t xml:space="preserve">exp</m:t>
        </m:r>
        <m:r>
          <m:t xml:space="preserve">(</m:t>
        </m:r>
        <m:r>
          <m:t xml:space="preserve">b</m:t>
        </m:r>
        <m:r>
          <m:t xml:space="preserve">)</m:t>
        </m:r>
        <m:r>
          <m:rPr>
            <m:lit/>
            <m:nor/>
          </m:rPr>
          <m:t xml:space="preserve">exp</m:t>
        </m:r>
        <m:r>
          <m:t xml:space="preserve">(</m:t>
        </m:r>
        <m:r>
          <m:rPr>
            <m:lit/>
            <m:nor/>
          </m:rPr>
          <m:t xml:space="preserve">ax</m:t>
        </m:r>
        <m:r>
          <m:t xml:space="preserve">)</m:t>
        </m:r>
      </m:oMath>
      <w:r>
        <w:rPr>
          <w:sz w:val="24"/>
        </w:rPr>
        <w:t>.</w:t>
      </w:r>
    </w:p>
    <w:p>
      <w:pPr>
        <w:pStyle w:val="Normal"/>
        <w:rPr>
          <w:sz w:val="24"/>
        </w:rPr>
      </w:pPr>
      <w:r>
        <w:rPr>
          <w:sz w:val="24"/>
        </w:rPr>
        <w:t>We interpret exp(b) as the riskless premium or liquidity premium since it is the premium that will be charged when x=0 or in other words when the risk is super-AAA (virtually riskless). We will choose to subtract this risk before converting the CDS price to a digital bankruptcy swap price.</w:t>
      </w:r>
    </w:p>
    <w:p>
      <w:pPr>
        <w:pStyle w:val="Normal"/>
        <w:rPr>
          <w:sz w:val="24"/>
        </w:rPr>
      </w:pPr>
      <w:r>
        <w:rPr>
          <w:sz w:val="24"/>
        </w:rPr>
      </w:r>
    </w:p>
    <w:p>
      <w:pPr>
        <w:pStyle w:val="Normal"/>
        <w:rPr>
          <w:b/>
          <w:sz w:val="24"/>
        </w:rPr>
      </w:pPr>
      <w:r>
        <w:rPr>
          <w:b/>
          <w:sz w:val="24"/>
        </w:rPr>
        <w:t>A.2 Fitting a Quadratic to Three Points</w:t>
      </w:r>
    </w:p>
    <w:p>
      <w:pPr>
        <w:pStyle w:val="Normal"/>
        <w:rPr>
          <w:b/>
          <w:sz w:val="24"/>
        </w:rPr>
      </w:pPr>
      <w:r>
        <w:rPr>
          <w:b/>
          <w:sz w:val="24"/>
        </w:rPr>
      </w:r>
    </w:p>
    <w:p>
      <w:pPr>
        <w:pStyle w:val="Normal"/>
        <w:rPr/>
      </w:pPr>
      <w:r>
        <w:rPr>
          <w:sz w:val="24"/>
        </w:rPr>
        <w:t xml:space="preserve">Given three data-points </w:t>
      </w:r>
      <w:r>
        <w:rPr>
          <w:sz w:val="24"/>
        </w:rPr>
      </w:r>
      <m:oMath xmlns:m="http://schemas.openxmlformats.org/officeDocument/2006/math">
        <m:r>
          <m:t xml:space="preserve">(</m:t>
        </m:r>
        <m:r>
          <m:t xml:space="preserve">x</m:t>
        </m:r>
        <m:r>
          <m:t xml:space="preserve">(</m:t>
        </m:r>
        <m:r>
          <m:t xml:space="preserve">i</m:t>
        </m:r>
        <m:r>
          <m:t xml:space="preserve">)</m:t>
        </m:r>
        <m:r>
          <m:t xml:space="preserve">,</m:t>
        </m:r>
        <m:r>
          <m:t xml:space="preserve">y</m:t>
        </m:r>
        <m:r>
          <m:t xml:space="preserve">(</m:t>
        </m:r>
        <m:r>
          <m:t xml:space="preserve">i</m:t>
        </m:r>
        <m:r>
          <m:t xml:space="preserve">)</m:t>
        </m:r>
        <m:r>
          <m:t xml:space="preserve">)</m:t>
        </m:r>
        <m:r>
          <m:t xml:space="preserve">,</m:t>
        </m:r>
        <m:r>
          <m:t xml:space="preserve">i</m:t>
        </m:r>
        <m:r>
          <m:t xml:space="preserve">=</m:t>
        </m:r>
        <m:r>
          <m:t xml:space="preserve">1,2,3</m:t>
        </m:r>
      </m:oMath>
      <w:r>
        <w:rPr>
          <w:sz w:val="24"/>
        </w:rPr>
        <w:t xml:space="preserve">,allows a quadratic function </w:t>
      </w:r>
      <w:r>
        <w:rPr>
          <w:sz w:val="24"/>
        </w:rPr>
      </w:r>
      <m:oMath xmlns:m="http://schemas.openxmlformats.org/officeDocument/2006/math">
        <m:r>
          <m:t xml:space="preserve">y</m:t>
        </m:r>
        <m:r>
          <m:t xml:space="preserve">(</m:t>
        </m:r>
        <m:r>
          <m:t xml:space="preserve">i</m:t>
        </m:r>
        <m:r>
          <m:t xml:space="preserve">)</m:t>
        </m:r>
        <m:r>
          <m:t xml:space="preserve">=</m:t>
        </m:r>
        <m:r>
          <m:rPr>
            <m:lit/>
            <m:nor/>
          </m:rPr>
          <m:t xml:space="preserve">ax</m:t>
        </m:r>
        <m:r>
          <m:t xml:space="preserve">(</m:t>
        </m:r>
        <m:r>
          <m:t xml:space="preserve">i</m:t>
        </m:r>
        <m:sSup>
          <m:e>
            <m:r>
              <m:t xml:space="preserve">)</m:t>
            </m:r>
          </m:e>
          <m:sup>
            <m:r>
              <m:t xml:space="preserve">2</m:t>
            </m:r>
          </m:sup>
        </m:sSup>
        <m:r>
          <m:t xml:space="preserve">+</m:t>
        </m:r>
        <m:r>
          <m:rPr>
            <m:lit/>
            <m:nor/>
          </m:rPr>
          <m:t xml:space="preserve">bx</m:t>
        </m:r>
        <m:r>
          <m:t xml:space="preserve">(</m:t>
        </m:r>
        <m:r>
          <m:t xml:space="preserve">i</m:t>
        </m:r>
        <m:r>
          <m:t xml:space="preserve">)</m:t>
        </m:r>
        <m:r>
          <m:t xml:space="preserve">+</m:t>
        </m:r>
        <m:r>
          <m:t xml:space="preserve">c</m:t>
        </m:r>
        <m:r>
          <m:t xml:space="preserve">,</m:t>
        </m:r>
      </m:oMath>
      <w:r>
        <w:rPr>
          <w:sz w:val="24"/>
        </w:rPr>
        <w:t xml:space="preserve"> to be exactly fitted to pass through the three points. </w:t>
      </w:r>
    </w:p>
    <w:p>
      <w:pPr>
        <w:pStyle w:val="Normal"/>
        <w:rPr>
          <w:sz w:val="24"/>
        </w:rPr>
      </w:pPr>
      <w:r>
        <w:rPr>
          <w:sz w:val="24"/>
        </w:rPr>
        <w:t>i.e.</w:t>
      </w:r>
    </w:p>
    <w:p>
      <w:pPr>
        <w:pStyle w:val="Normal"/>
        <w:rPr/>
      </w:pPr>
      <w:r>
        <w:rPr>
          <w:sz w:val="24"/>
        </w:rPr>
      </w:r>
      <m:oMath xmlns:m="http://schemas.openxmlformats.org/officeDocument/2006/math">
        <m:sSubSup>
          <m:e>
            <m:r>
              <m:rPr>
                <m:lit/>
                <m:nor/>
              </m:rPr>
              <m:t xml:space="preserve">ax</m:t>
            </m:r>
          </m:e>
          <m:sub>
            <m:r>
              <m:t xml:space="preserve">1</m:t>
            </m:r>
          </m:sub>
          <m:sup>
            <m:r>
              <m:t xml:space="preserve">2</m:t>
            </m:r>
          </m:sup>
        </m:sSubSup>
        <m:r>
          <m:t xml:space="preserve">+</m:t>
        </m:r>
        <m:sSub>
          <m:e>
            <m:r>
              <m:rPr>
                <m:lit/>
                <m:nor/>
              </m:rPr>
              <m:t xml:space="preserve">bx</m:t>
            </m:r>
          </m:e>
          <m:sub>
            <m:r>
              <m:t xml:space="preserve">1</m:t>
            </m:r>
          </m:sub>
        </m:sSub>
        <m:r>
          <m:t xml:space="preserve">+</m:t>
        </m:r>
        <m:r>
          <m:t xml:space="preserve">c</m:t>
        </m:r>
        <m:r>
          <m:t xml:space="preserve">=</m:t>
        </m:r>
        <m:sSub>
          <m:e>
            <m:r>
              <m:t xml:space="preserve">y</m:t>
            </m:r>
          </m:e>
          <m:sub>
            <m:r>
              <m:t xml:space="preserve">1</m:t>
            </m:r>
          </m:sub>
        </m:sSub>
      </m:oMath>
      <w:r>
        <w:rPr>
          <w:sz w:val="24"/>
        </w:rPr>
        <w:t>,</w:t>
      </w:r>
    </w:p>
    <w:p>
      <w:pPr>
        <w:pStyle w:val="Normal"/>
        <w:rPr/>
      </w:pPr>
      <w:r>
        <w:rPr>
          <w:sz w:val="24"/>
        </w:rPr>
      </w:r>
      <m:oMath xmlns:m="http://schemas.openxmlformats.org/officeDocument/2006/math">
        <m:sSubSup>
          <m:e>
            <m:r>
              <m:rPr>
                <m:lit/>
                <m:nor/>
              </m:rPr>
              <m:t xml:space="preserve">ax</m:t>
            </m:r>
          </m:e>
          <m:sub>
            <m:r>
              <m:t xml:space="preserve">2</m:t>
            </m:r>
          </m:sub>
          <m:sup>
            <m:r>
              <m:t xml:space="preserve">2</m:t>
            </m:r>
          </m:sup>
        </m:sSubSup>
        <m:r>
          <m:t xml:space="preserve">+</m:t>
        </m:r>
        <m:sSub>
          <m:e>
            <m:r>
              <m:rPr>
                <m:lit/>
                <m:nor/>
              </m:rPr>
              <m:t xml:space="preserve">bx</m:t>
            </m:r>
          </m:e>
          <m:sub>
            <m:r>
              <m:t xml:space="preserve">2</m:t>
            </m:r>
          </m:sub>
        </m:sSub>
        <m:r>
          <m:t xml:space="preserve">+</m:t>
        </m:r>
        <m:r>
          <m:t xml:space="preserve">c</m:t>
        </m:r>
        <m:r>
          <m:t xml:space="preserve">=</m:t>
        </m:r>
        <m:sSub>
          <m:e>
            <m:r>
              <m:t xml:space="preserve">y</m:t>
            </m:r>
          </m:e>
          <m:sub>
            <m:r>
              <m:t xml:space="preserve">2</m:t>
            </m:r>
          </m:sub>
        </m:sSub>
      </m:oMath>
      <w:r>
        <w:rPr>
          <w:sz w:val="24"/>
        </w:rPr>
        <w:t>,</w:t>
      </w:r>
    </w:p>
    <w:p>
      <w:pPr>
        <w:pStyle w:val="Normal"/>
        <w:rPr/>
      </w:pPr>
      <w:r>
        <w:rPr>
          <w:sz w:val="24"/>
        </w:rPr>
      </w:r>
      <m:oMath xmlns:m="http://schemas.openxmlformats.org/officeDocument/2006/math">
        <m:sSubSup>
          <m:e>
            <m:r>
              <m:rPr>
                <m:lit/>
                <m:nor/>
              </m:rPr>
              <m:t xml:space="preserve">ax</m:t>
            </m:r>
          </m:e>
          <m:sub>
            <m:r>
              <m:t xml:space="preserve">3</m:t>
            </m:r>
          </m:sub>
          <m:sup>
            <m:r>
              <m:t xml:space="preserve">2</m:t>
            </m:r>
          </m:sup>
        </m:sSubSup>
        <m:r>
          <m:t xml:space="preserve">+</m:t>
        </m:r>
        <m:sSub>
          <m:e>
            <m:r>
              <m:rPr>
                <m:lit/>
                <m:nor/>
              </m:rPr>
              <m:t xml:space="preserve">bx</m:t>
            </m:r>
          </m:e>
          <m:sub>
            <m:r>
              <m:t xml:space="preserve">3</m:t>
            </m:r>
          </m:sub>
        </m:sSub>
        <m:r>
          <m:t xml:space="preserve">+</m:t>
        </m:r>
        <m:r>
          <m:t xml:space="preserve">c</m:t>
        </m:r>
        <m:r>
          <m:t xml:space="preserve">=</m:t>
        </m:r>
        <m:sSub>
          <m:e>
            <m:r>
              <m:t xml:space="preserve">y</m:t>
            </m:r>
          </m:e>
          <m:sub>
            <m:r>
              <m:t xml:space="preserve">3</m:t>
            </m:r>
          </m:sub>
        </m:sSub>
      </m:oMath>
      <w:r>
        <w:rPr>
          <w:sz w:val="24"/>
        </w:rPr>
        <w:t>,</w:t>
      </w:r>
    </w:p>
    <w:p>
      <w:pPr>
        <w:pStyle w:val="Normal"/>
        <w:rPr>
          <w:sz w:val="24"/>
        </w:rPr>
      </w:pPr>
      <w:r>
        <w:rPr>
          <w:sz w:val="24"/>
        </w:rPr>
        <w:t>therefore</w:t>
      </w:r>
    </w:p>
    <w:p>
      <w:pPr>
        <w:pStyle w:val="Normal"/>
        <w:rPr/>
      </w:pPr>
      <w:r>
        <w:rPr>
          <w:sz w:val="24"/>
        </w:rPr>
      </w:r>
      <m:oMath xmlns:m="http://schemas.openxmlformats.org/officeDocument/2006/math">
        <m:r>
          <m:t xml:space="preserve">a</m:t>
        </m:r>
        <m:r>
          <m:t xml:space="preserve">(</m:t>
        </m:r>
        <m:sSubSup>
          <m:e>
            <m:r>
              <m:t xml:space="preserve">x</m:t>
            </m:r>
          </m:e>
          <m:sub>
            <m:r>
              <m:t xml:space="preserve">1</m:t>
            </m:r>
          </m:sub>
          <m:sup>
            <m:r>
              <m:t xml:space="preserve">2</m:t>
            </m:r>
          </m:sup>
        </m:sSubSup>
        <m:r>
          <m:t xml:space="preserve">−</m:t>
        </m:r>
        <m:sSubSup>
          <m:e>
            <m:r>
              <m:t xml:space="preserve">x</m:t>
            </m:r>
          </m:e>
          <m:sub>
            <m:r>
              <m:t xml:space="preserve">2</m:t>
            </m:r>
          </m:sub>
          <m:sup>
            <m:r>
              <m:t xml:space="preserve">2</m:t>
            </m:r>
          </m:sup>
        </m:sSubSup>
        <m:r>
          <m:t xml:space="preserve">)</m:t>
        </m:r>
        <m:r>
          <m:t xml:space="preserve">+</m:t>
        </m:r>
        <m:r>
          <m:t xml:space="preserve">b</m:t>
        </m:r>
        <m:r>
          <m:t xml:space="preserve">(</m:t>
        </m:r>
        <m:sSub>
          <m:e>
            <m:r>
              <m:t xml:space="preserve">x</m:t>
            </m:r>
          </m:e>
          <m:sub>
            <m:r>
              <m:t xml:space="preserve">1</m:t>
            </m:r>
          </m:sub>
        </m:sSub>
        <m:r>
          <m:t xml:space="preserve">−</m:t>
        </m:r>
        <m:sSub>
          <m:e>
            <m:r>
              <m:t xml:space="preserve">x</m:t>
            </m:r>
          </m:e>
          <m:sub>
            <m:r>
              <m:t xml:space="preserve">2</m:t>
            </m:r>
          </m:sub>
        </m:sSub>
        <m:r>
          <m:t xml:space="preserve">)</m:t>
        </m:r>
        <m:r>
          <m:t xml:space="preserve">=</m:t>
        </m:r>
        <m:sSub>
          <m:e>
            <m:r>
              <m:t xml:space="preserve">y</m:t>
            </m:r>
          </m:e>
          <m:sub>
            <m:r>
              <m:t xml:space="preserve">1</m:t>
            </m:r>
          </m:sub>
        </m:sSub>
        <m:r>
          <m:t xml:space="preserve">−</m:t>
        </m:r>
        <m:sSub>
          <m:e>
            <m:r>
              <m:t xml:space="preserve">y</m:t>
            </m:r>
          </m:e>
          <m:sub>
            <m:r>
              <m:t xml:space="preserve">2</m:t>
            </m:r>
          </m:sub>
        </m:sSub>
      </m:oMath>
      <w:r>
        <w:rPr>
          <w:sz w:val="24"/>
        </w:rPr>
        <w:t>,</w:t>
      </w:r>
    </w:p>
    <w:p>
      <w:pPr>
        <w:pStyle w:val="Normal"/>
        <w:rPr/>
      </w:pPr>
      <w:r>
        <w:rPr>
          <w:sz w:val="24"/>
        </w:rPr>
      </w:r>
      <m:oMath xmlns:m="http://schemas.openxmlformats.org/officeDocument/2006/math">
        <m:r>
          <m:t xml:space="preserve">a</m:t>
        </m:r>
        <m:r>
          <m:t xml:space="preserve">(</m:t>
        </m:r>
        <m:sSubSup>
          <m:e>
            <m:r>
              <m:t xml:space="preserve">x</m:t>
            </m:r>
          </m:e>
          <m:sub>
            <m:r>
              <m:t xml:space="preserve">1</m:t>
            </m:r>
          </m:sub>
          <m:sup>
            <m:r>
              <m:t xml:space="preserve">2</m:t>
            </m:r>
          </m:sup>
        </m:sSubSup>
        <m:r>
          <m:t xml:space="preserve">−</m:t>
        </m:r>
        <m:sSubSup>
          <m:e>
            <m:r>
              <m:t xml:space="preserve">x</m:t>
            </m:r>
          </m:e>
          <m:sub>
            <m:r>
              <m:t xml:space="preserve">3</m:t>
            </m:r>
          </m:sub>
          <m:sup>
            <m:r>
              <m:t xml:space="preserve">2</m:t>
            </m:r>
          </m:sup>
        </m:sSubSup>
        <m:r>
          <m:t xml:space="preserve">)</m:t>
        </m:r>
        <m:r>
          <m:t xml:space="preserve">+</m:t>
        </m:r>
        <m:r>
          <m:t xml:space="preserve">b</m:t>
        </m:r>
        <m:r>
          <m:t xml:space="preserve">(</m:t>
        </m:r>
        <m:sSub>
          <m:e>
            <m:r>
              <m:t xml:space="preserve">x</m:t>
            </m:r>
          </m:e>
          <m:sub>
            <m:r>
              <m:t xml:space="preserve">1</m:t>
            </m:r>
          </m:sub>
        </m:sSub>
        <m:r>
          <m:t xml:space="preserve">−</m:t>
        </m:r>
        <m:sSub>
          <m:e>
            <m:r>
              <m:t xml:space="preserve">x</m:t>
            </m:r>
          </m:e>
          <m:sub>
            <m:r>
              <m:t xml:space="preserve">3</m:t>
            </m:r>
          </m:sub>
        </m:sSub>
        <m:r>
          <m:t xml:space="preserve">)</m:t>
        </m:r>
        <m:r>
          <m:t xml:space="preserve">=</m:t>
        </m:r>
        <m:sSub>
          <m:e>
            <m:r>
              <m:t xml:space="preserve">y</m:t>
            </m:r>
          </m:e>
          <m:sub>
            <m:r>
              <m:t xml:space="preserve">1</m:t>
            </m:r>
          </m:sub>
        </m:sSub>
        <m:r>
          <m:t xml:space="preserve">−</m:t>
        </m:r>
        <m:sSub>
          <m:e>
            <m:r>
              <m:t xml:space="preserve">y</m:t>
            </m:r>
          </m:e>
          <m:sub>
            <m:r>
              <m:t xml:space="preserve">3</m:t>
            </m:r>
          </m:sub>
        </m:sSub>
      </m:oMath>
      <w:r>
        <w:rPr>
          <w:sz w:val="24"/>
        </w:rPr>
        <w:t>,</w:t>
      </w:r>
    </w:p>
    <w:p>
      <w:pPr>
        <w:pStyle w:val="Normal"/>
        <w:rPr>
          <w:sz w:val="24"/>
        </w:rPr>
      </w:pPr>
      <w:r>
        <w:rPr>
          <w:sz w:val="24"/>
        </w:rPr>
        <w:t xml:space="preserve">and </w:t>
      </w:r>
    </w:p>
    <w:p>
      <w:pPr>
        <w:pStyle w:val="Normal"/>
        <w:rPr/>
      </w:pPr>
      <w:r>
        <w:rPr>
          <w:sz w:val="24"/>
        </w:rPr>
      </w:r>
      <m:oMath xmlns:m="http://schemas.openxmlformats.org/officeDocument/2006/math">
        <m:r>
          <m:t xml:space="preserve">a</m:t>
        </m:r>
        <m:r>
          <m:t xml:space="preserve">=</m:t>
        </m:r>
        <m:f>
          <m:num>
            <m:sSub>
              <m:e>
                <m:r>
                  <m:t xml:space="preserve">y</m:t>
                </m:r>
              </m:e>
              <m:sub>
                <m:r>
                  <m:t xml:space="preserve">1</m:t>
                </m:r>
              </m:sub>
            </m:sSub>
            <m:r>
              <m:t xml:space="preserve">−</m:t>
            </m:r>
            <m:sSub>
              <m:e>
                <m:r>
                  <m:t xml:space="preserve">y</m:t>
                </m:r>
              </m:e>
              <m:sub>
                <m:r>
                  <m:t xml:space="preserve">2</m:t>
                </m:r>
              </m:sub>
            </m:sSub>
          </m:num>
          <m:den>
            <m:r>
              <m:t xml:space="preserve">(</m:t>
            </m:r>
            <m:sSub>
              <m:e>
                <m:r>
                  <m:t xml:space="preserve">x</m:t>
                </m:r>
              </m:e>
              <m:sub>
                <m:r>
                  <m:t xml:space="preserve">1</m:t>
                </m:r>
              </m:sub>
            </m:sSub>
            <m:r>
              <m:t xml:space="preserve">−</m:t>
            </m:r>
            <m:sSub>
              <m:e>
                <m:r>
                  <m:t xml:space="preserve">x</m:t>
                </m:r>
              </m:e>
              <m:sub>
                <m:r>
                  <m:t xml:space="preserve">2</m:t>
                </m:r>
              </m:sub>
            </m:sSub>
            <m:r>
              <m:t xml:space="preserve">)</m:t>
            </m:r>
            <m:r>
              <m:t xml:space="preserve">(</m:t>
            </m:r>
            <m:sSub>
              <m:e>
                <m:r>
                  <m:t xml:space="preserve">x</m:t>
                </m:r>
              </m:e>
              <m:sub>
                <m:r>
                  <m:t xml:space="preserve">2</m:t>
                </m:r>
              </m:sub>
            </m:sSub>
            <m:r>
              <m:t xml:space="preserve">−</m:t>
            </m:r>
            <m:sSub>
              <m:e>
                <m:r>
                  <m:t xml:space="preserve">x</m:t>
                </m:r>
              </m:e>
              <m:sub>
                <m:r>
                  <m:t xml:space="preserve">3</m:t>
                </m:r>
              </m:sub>
            </m:sSub>
            <m:r>
              <m:t xml:space="preserve">)</m:t>
            </m:r>
          </m:den>
        </m:f>
        <m:r>
          <m:t xml:space="preserve">−</m:t>
        </m:r>
        <m:f>
          <m:num>
            <m:sSub>
              <m:e>
                <m:r>
                  <m:t xml:space="preserve">y</m:t>
                </m:r>
              </m:e>
              <m:sub>
                <m:r>
                  <m:t xml:space="preserve">1</m:t>
                </m:r>
              </m:sub>
            </m:sSub>
            <m:r>
              <m:t xml:space="preserve">−</m:t>
            </m:r>
            <m:sSub>
              <m:e>
                <m:r>
                  <m:t xml:space="preserve">y</m:t>
                </m:r>
              </m:e>
              <m:sub>
                <m:r>
                  <m:t xml:space="preserve">3</m:t>
                </m:r>
              </m:sub>
            </m:sSub>
          </m:num>
          <m:den>
            <m:r>
              <m:t xml:space="preserve">(</m:t>
            </m:r>
            <m:sSub>
              <m:e>
                <m:r>
                  <m:t xml:space="preserve">x</m:t>
                </m:r>
              </m:e>
              <m:sub>
                <m:r>
                  <m:t xml:space="preserve">1</m:t>
                </m:r>
              </m:sub>
            </m:sSub>
            <m:r>
              <m:t xml:space="preserve">−</m:t>
            </m:r>
            <m:sSub>
              <m:e>
                <m:r>
                  <m:t xml:space="preserve">x</m:t>
                </m:r>
              </m:e>
              <m:sub>
                <m:r>
                  <m:t xml:space="preserve">3</m:t>
                </m:r>
              </m:sub>
            </m:sSub>
            <m:r>
              <m:t xml:space="preserve">)</m:t>
            </m:r>
            <m:r>
              <m:t xml:space="preserve">(</m:t>
            </m:r>
            <m:sSub>
              <m:e>
                <m:r>
                  <m:t xml:space="preserve">x</m:t>
                </m:r>
              </m:e>
              <m:sub>
                <m:r>
                  <m:t xml:space="preserve">2</m:t>
                </m:r>
              </m:sub>
            </m:sSub>
            <m:r>
              <m:t xml:space="preserve">−</m:t>
            </m:r>
            <m:sSub>
              <m:e>
                <m:r>
                  <m:t xml:space="preserve">x</m:t>
                </m:r>
              </m:e>
              <m:sub>
                <m:r>
                  <m:t xml:space="preserve">3</m:t>
                </m:r>
              </m:sub>
            </m:sSub>
            <m:r>
              <m:t xml:space="preserve">)</m:t>
            </m:r>
          </m:den>
        </m:f>
      </m:oMath>
      <w:r>
        <w:rPr>
          <w:sz w:val="24"/>
        </w:rPr>
        <w:t>,</w:t>
      </w:r>
    </w:p>
    <w:p>
      <w:pPr>
        <w:pStyle w:val="Normal"/>
        <w:rPr>
          <w:sz w:val="24"/>
        </w:rPr>
      </w:pPr>
      <w:r>
        <w:rPr>
          <w:sz w:val="24"/>
        </w:rPr>
      </w:r>
    </w:p>
    <w:p>
      <w:pPr>
        <w:pStyle w:val="Normal"/>
        <w:rPr>
          <w:sz w:val="24"/>
        </w:rPr>
      </w:pPr>
      <w:r>
        <w:rPr>
          <w:sz w:val="24"/>
        </w:rPr>
        <w:t>and</w:t>
      </w:r>
    </w:p>
    <w:p>
      <w:pPr>
        <w:pStyle w:val="Normal"/>
        <w:rPr/>
      </w:pPr>
      <w:r/>
      <m:oMath xmlns:m="http://schemas.openxmlformats.org/officeDocument/2006/math">
        <m:r>
          <m:t xml:space="preserve">b</m:t>
        </m:r>
        <m:r>
          <m:t xml:space="preserve">=</m:t>
        </m:r>
        <m:f>
          <m:num>
            <m:sSub>
              <m:e>
                <m:r>
                  <m:t xml:space="preserve">y</m:t>
                </m:r>
              </m:e>
              <m:sub>
                <m:r>
                  <m:t xml:space="preserve">1</m:t>
                </m:r>
              </m:sub>
            </m:sSub>
            <m:r>
              <m:t xml:space="preserve">−</m:t>
            </m:r>
            <m:sSub>
              <m:e>
                <m:r>
                  <m:t xml:space="preserve">y</m:t>
                </m:r>
              </m:e>
              <m:sub>
                <m:r>
                  <m:t xml:space="preserve">2</m:t>
                </m:r>
              </m:sub>
            </m:sSub>
          </m:num>
          <m:den>
            <m:r>
              <m:t xml:space="preserve">(</m:t>
            </m:r>
            <m:sSub>
              <m:e>
                <m:r>
                  <m:t xml:space="preserve">x</m:t>
                </m:r>
              </m:e>
              <m:sub>
                <m:r>
                  <m:t xml:space="preserve">1</m:t>
                </m:r>
              </m:sub>
            </m:sSub>
            <m:r>
              <m:t xml:space="preserve">−</m:t>
            </m:r>
            <m:sSub>
              <m:e>
                <m:r>
                  <m:t xml:space="preserve">x</m:t>
                </m:r>
              </m:e>
              <m:sub>
                <m:r>
                  <m:t xml:space="preserve">2</m:t>
                </m:r>
              </m:sub>
            </m:sSub>
            <m:r>
              <m:t xml:space="preserve">)</m:t>
            </m:r>
          </m:den>
        </m:f>
        <m:r>
          <m:t xml:space="preserve">−</m:t>
        </m:r>
        <m:r>
          <m:t xml:space="preserve">a</m:t>
        </m:r>
        <m:r>
          <m:t xml:space="preserve">,</m:t>
        </m:r>
      </m:oMath>
      <w:r>
        <w:rPr>
          <w:sz w:val="24"/>
        </w:rPr>
      </w:r>
      <m:oMath xmlns:m="http://schemas.openxmlformats.org/officeDocument/2006/math">
        <m:r>
          <m:t xml:space="preserve">c</m:t>
        </m:r>
        <m:r>
          <m:t xml:space="preserve">=</m:t>
        </m:r>
        <m:sSub>
          <m:e>
            <m:r>
              <m:t xml:space="preserve">y</m:t>
            </m:r>
          </m:e>
          <m:sub>
            <m:r>
              <m:t xml:space="preserve">1</m:t>
            </m:r>
          </m:sub>
        </m:sSub>
        <m:r>
          <m:t xml:space="preserve">−</m:t>
        </m:r>
        <m:sSubSup>
          <m:e>
            <m:r>
              <m:rPr>
                <m:lit/>
                <m:nor/>
              </m:rPr>
              <m:t xml:space="preserve">ax</m:t>
            </m:r>
          </m:e>
          <m:sub>
            <m:r>
              <m:t xml:space="preserve">1</m:t>
            </m:r>
          </m:sub>
          <m:sup>
            <m:r>
              <m:t xml:space="preserve">2</m:t>
            </m:r>
          </m:sup>
        </m:sSubSup>
        <m:r>
          <m:t xml:space="preserve">−</m:t>
        </m:r>
        <m:sSub>
          <m:e>
            <m:r>
              <m:rPr>
                <m:lit/>
                <m:nor/>
              </m:rPr>
              <m:t xml:space="preserve">bx</m:t>
            </m:r>
          </m:e>
          <m:sub>
            <m:r>
              <m:t xml:space="preserve">1</m:t>
            </m:r>
          </m:sub>
        </m:sSub>
      </m:oMath>
      <w:r>
        <w:rPr>
          <w:sz w:val="24"/>
        </w:rPr>
        <w:t>.</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b/>
      <w:sz w:val="32"/>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package" Target="embeddings/oleObject3.xlsx"/><Relationship Id="rId9" Type="http://schemas.openxmlformats.org/officeDocument/2006/relationships/image" Target="media/image5.wmf"/><Relationship Id="rId10" Type="http://schemas.openxmlformats.org/officeDocument/2006/relationships/package" Target="embeddings/oleObject4.xlsx"/><Relationship Id="rId11" Type="http://schemas.openxmlformats.org/officeDocument/2006/relationships/image" Target="media/image6.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2000-11-20T12:48:00Z</dcterms:created>
  <dc:creator>NPrice2</dc:creator>
  <dc:description/>
  <dc:language>en-CA</dc:language>
  <cp:lastModifiedBy>NPrice2</cp:lastModifiedBy>
  <cp:lastPrinted>2000-11-23T11:33:00Z</cp:lastPrinted>
  <dcterms:modified xsi:type="dcterms:W3CDTF">2000-11-24T06:26:00Z</dcterms:modified>
  <cp:revision>11</cp:revision>
  <dc:subject/>
  <dc:title>The Modelling Behind The Fair Market Curves:</dc:title>
</cp:coreProperties>
</file>