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media/image1.wmf" ContentType="image/x-wmf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_1038204924"/>
      <w:bookmarkStart w:id="1" w:name="_1038204908"/>
      <w:bookmarkStart w:id="2" w:name="_1038204437"/>
      <w:bookmarkStart w:id="3" w:name="_1038117679"/>
      <w:bookmarkStart w:id="4" w:name="_1038117534"/>
      <w:bookmarkStart w:id="5" w:name="_1038058837"/>
      <w:bookmarkStart w:id="6" w:name="_1035203080"/>
      <w:bookmarkStart w:id="7" w:name="_1035184657"/>
      <w:bookmarkStart w:id="8" w:name="_1029936763"/>
      <w:bookmarkStart w:id="9" w:name="_1029935652"/>
      <w:bookmarkStart w:id="10" w:name="_1027169421"/>
      <w:bookmarkStart w:id="11" w:name="_1027169344"/>
      <w:bookmarkStart w:id="12" w:name="_1027169055"/>
      <w:bookmarkStart w:id="13" w:name="_1027167359"/>
      <w:bookmarkStart w:id="14" w:name="_10269031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/>
        <w:object w:dxaOrig="10337" w:dyaOrig="633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67.2pt;height:307.2pt" filled="f" o:ole="">
            <v:imagedata r:id="rId3" o:title=""/>
          </v:shape>
          <o:OLEObject Type="Embed" ProgID="Excel.Sheet.12" ShapeID="ole_rId2" DrawAspect="Content" ObjectID="_224560344" r:id="rId2"/>
        </w:objec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18"/>
        <w:gridCol w:w="5580"/>
      </w:tblGrid>
      <w:tr>
        <w:trPr>
          <w:trHeight w:val="200" w:hRule="exact"/>
        </w:trPr>
        <w:tc>
          <w:tcPr>
            <w:tcW w:w="109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Heading2"/>
              <w:ind w:hanging="0" w:start="0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PERSONNEL ASSIGNMENT CHANGES</w:t>
            </w:r>
          </w:p>
        </w:tc>
      </w:tr>
      <w:tr>
        <w:trPr/>
        <w:tc>
          <w:tcPr>
            <w:tcW w:w="5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Bobby Oubre and Michelle Horm (DSS Support) transitioned to Transportation Accounting team.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tabs>
          <w:tab w:val="clear" w:pos="720"/>
          <w:tab w:val="left" w:pos="7650" w:leader="none"/>
        </w:tabs>
        <w:rPr>
          <w:sz w:val="16"/>
        </w:rPr>
      </w:pPr>
      <w:r>
        <w:rPr>
          <w:sz w:val="16"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99"/>
        <w:gridCol w:w="2889"/>
        <w:gridCol w:w="1710"/>
        <w:gridCol w:w="900"/>
      </w:tblGrid>
      <w:tr>
        <w:trPr>
          <w:trHeight w:val="200" w:hRule="exact"/>
        </w:trPr>
        <w:tc>
          <w:tcPr>
            <w:tcW w:w="1099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320" w:leader="none"/>
                <w:tab w:val="left" w:pos="7560" w:leader="none"/>
              </w:tabs>
              <w:rPr/>
            </w:pPr>
            <w:r>
              <w:rPr>
                <w:rFonts w:cs="Arial" w:ascii="Arial" w:hAnsi="Arial"/>
                <w:b/>
                <w:color w:val="000080"/>
                <w:sz w:val="16"/>
              </w:rPr>
              <w:t>GAS MEASUREMENT</w:t>
              <w:tab/>
            </w:r>
            <w:r>
              <w:rPr>
                <w:rFonts w:cs="Arial" w:ascii="Arial" w:hAnsi="Arial"/>
                <w:b/>
                <w:color w:val="008080"/>
                <w:sz w:val="16"/>
              </w:rPr>
              <w:t>Contact:  Jeff May</w:t>
            </w:r>
            <w:r>
              <w:rPr>
                <w:rFonts w:cs="Arial" w:ascii="Arial" w:hAnsi="Arial"/>
                <w:b/>
                <w:color w:val="000080"/>
                <w:sz w:val="16"/>
              </w:rPr>
              <w:tab/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3"/>
              <w:tabs>
                <w:tab w:val="clear" w:pos="720"/>
                <w:tab w:val="left" w:pos="7650" w:leader="none"/>
              </w:tabs>
              <w:ind w:hanging="0" w:start="0"/>
              <w:jc w:val="center"/>
              <w:rPr>
                <w:rFonts w:ascii="Arial" w:hAnsi="Arial" w:cs="Arial"/>
                <w:b w:val="false"/>
                <w:i/>
                <w:i/>
                <w:color w:val="000000"/>
              </w:rPr>
            </w:pPr>
            <w:r>
              <w:rPr>
                <w:rFonts w:cs="Arial" w:ascii="Arial" w:hAnsi="Arial"/>
                <w:b w:val="false"/>
                <w:i/>
                <w:color w:val="000000"/>
              </w:rPr>
              <w:t>Current Projects (including business purpose)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jc w:val="center"/>
              <w:rPr>
                <w:rFonts w:ascii="Arial" w:hAnsi="Arial" w:cs="Arial"/>
                <w:color w:val="008080"/>
                <w:sz w:val="14"/>
              </w:rPr>
            </w:pPr>
            <w:r>
              <w:rPr>
                <w:rFonts w:cs="Arial" w:ascii="Arial" w:hAnsi="Arial"/>
                <w:color w:val="008080"/>
                <w:sz w:val="14"/>
              </w:rPr>
              <w:t>Sponsor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jc w:val="center"/>
              <w:rPr>
                <w:rFonts w:ascii="Arial" w:hAnsi="Arial" w:cs="Arial"/>
                <w:color w:val="008080"/>
                <w:sz w:val="12"/>
              </w:rPr>
            </w:pPr>
            <w:r>
              <w:rPr>
                <w:rFonts w:cs="Arial" w:ascii="Arial" w:hAnsi="Arial"/>
                <w:color w:val="008080"/>
                <w:sz w:val="12"/>
              </w:rPr>
              <w:t>% Complete</w:t>
            </w:r>
          </w:p>
        </w:tc>
      </w:tr>
      <w:tr>
        <w:trPr>
          <w:trHeight w:val="225" w:hRule="atLeast"/>
        </w:trPr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PGAS Project – Replacement for the MIPS System. 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Ellis Stern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MIPS conversion of archival data to the FILENET system for more convenient access to historical data.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Ellis Stern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96</w:t>
            </w:r>
          </w:p>
        </w:tc>
      </w:tr>
      <w:tr>
        <w:trPr>
          <w:trHeight w:val="225" w:hRule="atLeast"/>
        </w:trPr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Develop data import for Positive/Turbine Meters from field locations – Project is on hold.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Ken Cessac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80</w:t>
            </w:r>
          </w:p>
        </w:tc>
      </w:tr>
      <w:tr>
        <w:trPr>
          <w:trHeight w:val="240" w:hRule="exact"/>
        </w:trPr>
        <w:tc>
          <w:tcPr>
            <w:tcW w:w="549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6"/>
              <w:tabs>
                <w:tab w:val="clear" w:pos="720"/>
                <w:tab w:val="left" w:pos="7650" w:leader="none"/>
              </w:tabs>
              <w:ind w:hanging="0" w:start="0"/>
              <w:rPr>
                <w:color w:val="008080"/>
              </w:rPr>
            </w:pPr>
            <w:r>
              <w:rPr>
                <w:color w:val="008080"/>
              </w:rPr>
              <w:t>Objectives for Next Month:</w:t>
            </w:r>
          </w:p>
        </w:tc>
        <w:tc>
          <w:tcPr>
            <w:tcW w:w="5499" w:type="dxa"/>
            <w:gridSpan w:val="3"/>
            <w:tcBorders>
              <w:start w:val="doub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tabs>
                <w:tab w:val="clear" w:pos="720"/>
                <w:tab w:val="left" w:pos="7650" w:leader="none"/>
              </w:tabs>
              <w:ind w:hanging="0" w:start="0"/>
              <w:rPr>
                <w:color w:val="008080"/>
              </w:rPr>
            </w:pPr>
            <w:r>
              <w:rPr>
                <w:color w:val="008080"/>
              </w:rPr>
              <w:t>Issues:</w:t>
            </w:r>
          </w:p>
        </w:tc>
      </w:tr>
      <w:tr>
        <w:trPr/>
        <w:tc>
          <w:tcPr>
            <w:tcW w:w="54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Continue PGAS project.</w:t>
            </w:r>
          </w:p>
        </w:tc>
        <w:tc>
          <w:tcPr>
            <w:tcW w:w="5499" w:type="dxa"/>
            <w:gridSpan w:val="3"/>
            <w:tcBorders>
              <w:top w:val="single" w:sz="4" w:space="0" w:color="000000"/>
              <w:start w:val="double" w:sz="1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tabs>
          <w:tab w:val="clear" w:pos="720"/>
          <w:tab w:val="left" w:pos="7650" w:leader="none"/>
        </w:tabs>
        <w:rPr>
          <w:sz w:val="16"/>
        </w:rPr>
      </w:pPr>
      <w:r>
        <w:rPr>
          <w:sz w:val="16"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99"/>
        <w:gridCol w:w="2889"/>
        <w:gridCol w:w="1710"/>
        <w:gridCol w:w="900"/>
      </w:tblGrid>
      <w:tr>
        <w:trPr>
          <w:trHeight w:val="200" w:hRule="exact"/>
        </w:trPr>
        <w:tc>
          <w:tcPr>
            <w:tcW w:w="1099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320" w:leader="none"/>
                <w:tab w:val="left" w:pos="7560" w:leader="none"/>
              </w:tabs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cs="Arial" w:ascii="Arial" w:hAnsi="Arial"/>
                <w:b/>
                <w:color w:val="000080"/>
                <w:sz w:val="16"/>
              </w:rPr>
              <w:t>SAP and DSS Support</w:t>
              <w:tab/>
            </w:r>
            <w:r>
              <w:rPr>
                <w:rFonts w:cs="Arial" w:ascii="Arial" w:hAnsi="Arial"/>
                <w:b/>
                <w:color w:val="008080"/>
                <w:sz w:val="16"/>
              </w:rPr>
              <w:t>Contact:  Greg Lewis</w:t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3"/>
              <w:tabs>
                <w:tab w:val="clear" w:pos="720"/>
                <w:tab w:val="left" w:pos="7650" w:leader="none"/>
              </w:tabs>
              <w:ind w:hanging="0" w:start="0"/>
              <w:jc w:val="center"/>
              <w:rPr>
                <w:rFonts w:ascii="Arial" w:hAnsi="Arial" w:cs="Arial"/>
                <w:b w:val="false"/>
                <w:i/>
                <w:i/>
                <w:color w:val="000000"/>
              </w:rPr>
            </w:pPr>
            <w:r>
              <w:rPr>
                <w:rFonts w:cs="Arial" w:ascii="Arial" w:hAnsi="Arial"/>
                <w:b w:val="false"/>
                <w:i/>
                <w:color w:val="000000"/>
              </w:rPr>
              <w:t>Current Projects (including business purpose)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jc w:val="center"/>
              <w:rPr>
                <w:rFonts w:ascii="Arial" w:hAnsi="Arial" w:cs="Arial"/>
                <w:color w:val="008080"/>
                <w:sz w:val="14"/>
              </w:rPr>
            </w:pPr>
            <w:r>
              <w:rPr>
                <w:rFonts w:cs="Arial" w:ascii="Arial" w:hAnsi="Arial"/>
                <w:color w:val="008080"/>
                <w:sz w:val="14"/>
              </w:rPr>
              <w:t>Sponsor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jc w:val="center"/>
              <w:rPr>
                <w:rFonts w:ascii="Arial" w:hAnsi="Arial" w:cs="Arial"/>
                <w:color w:val="008080"/>
                <w:sz w:val="12"/>
              </w:rPr>
            </w:pPr>
            <w:r>
              <w:rPr>
                <w:rFonts w:cs="Arial" w:ascii="Arial" w:hAnsi="Arial"/>
                <w:color w:val="008080"/>
                <w:sz w:val="12"/>
              </w:rPr>
              <w:t>% Complete</w:t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DSS – Transitioned Database and Server administration support to ETS Technology Infrastructure.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Mike Sullivan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FERC Imbalance – Imbalance between FERC chart and natural chart of accounts still exists.  ETS and ISC spent 2-3 days analyzing imbalance and identified one of probably several projects causing the problem.  The ISC provided the findings to SAP and has asked them to investigate the cause. 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Rod Hayslett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/>
            </w:pPr>
            <w:r>
              <w:rPr>
                <w:rFonts w:cs="Arial" w:ascii="Arial" w:hAnsi="Arial"/>
                <w:sz w:val="16"/>
              </w:rPr>
              <w:t>ETS Decision on Taking Responsibility for Running Assessments – Feedback on ETS’ second trial running their own assessments was similar to the first trial….generally positive, but with concerns expressed about resources available to do this on the 3</w:t>
            </w:r>
            <w:r>
              <w:rPr>
                <w:rFonts w:cs="Arial" w:ascii="Arial" w:hAnsi="Arial"/>
                <w:sz w:val="16"/>
                <w:vertAlign w:val="superscript"/>
              </w:rPr>
              <w:t>rd</w:t>
            </w:r>
            <w:r>
              <w:rPr>
                <w:rFonts w:cs="Arial" w:ascii="Arial" w:hAnsi="Arial"/>
                <w:sz w:val="16"/>
              </w:rPr>
              <w:t xml:space="preserve"> workday.  ETS agreed to continue the trials through year-end, but in a distributed set-up (in own dept. vs in classroom setting) with the intent of taking this over for January close.  Also, intentions are to centralize for all ETS companies in one accounting team. 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Rod Hayslett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Composite Depreciation/Book1 Allocation – Met with ETS Prop. Acctg. and the ISC to review 2 primary issues and to establish plans for addressing them.  (1) Arthur Andersen’s system audit – ISC and ETS to provide focused resources to work with AA in reconciling MSA to SAP depreciation; (2) Book 1 Allocation Differences – There may be differences in the results of the SAP and MSA processes.  At a high level appears to be very small; have identified one relatively small asset where the difference is significant; Prop. Acctg., the ISC and FIS are stepping through the code and test results on this asset to identify the source of the difference. 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Rod Hayslett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Materials Management – ISC completed estimate for MLRP upgrade; decisions to upgrade and for ongoing support are pending.  GSS received ETS approval for assessment phase of project to upgrade and replace B2B and the aspect catalogue.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George Quittner, Ray Smith, Morris Brassfield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Reporting – 4 of ETS’ “top 6” reports are complete; goal is to complete the remaining 2 by year end.  Future report development requests are being coordinated and prioritized through the user groups.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Additional Topics/Issues – </w:t>
            </w:r>
          </w:p>
          <w:p>
            <w:pPr>
              <w:pStyle w:val="Normal"/>
              <w:tabs>
                <w:tab w:val="clear" w:pos="720"/>
                <w:tab w:val="left" w:pos="7650" w:leader="none"/>
              </w:tabs>
              <w:rPr/>
            </w:pPr>
            <w:r>
              <w:rPr>
                <w:rFonts w:cs="Arial" w:ascii="Arial" w:hAnsi="Arial"/>
                <w:b/>
                <w:sz w:val="16"/>
              </w:rPr>
              <w:t>Labor True Up</w:t>
            </w:r>
            <w:r>
              <w:rPr>
                <w:rFonts w:cs="Arial" w:ascii="Arial" w:hAnsi="Arial"/>
                <w:sz w:val="16"/>
              </w:rPr>
              <w:t xml:space="preserve"> – Design, development and testing of solution to resolve ETS issues is nearly complete.  Will be in production for December or January business.</w:t>
            </w:r>
          </w:p>
          <w:p>
            <w:pPr>
              <w:pStyle w:val="Normal"/>
              <w:tabs>
                <w:tab w:val="clear" w:pos="720"/>
                <w:tab w:val="left" w:pos="7650" w:leader="none"/>
              </w:tabs>
              <w:rPr/>
            </w:pPr>
            <w:r>
              <w:rPr>
                <w:rFonts w:cs="Arial" w:ascii="Arial" w:hAnsi="Arial"/>
                <w:b/>
                <w:sz w:val="16"/>
              </w:rPr>
              <w:t>Non-Cash Settlement or “Intercompany Netting”</w:t>
            </w:r>
            <w:r>
              <w:rPr>
                <w:rFonts w:cs="Arial" w:ascii="Arial" w:hAnsi="Arial"/>
                <w:sz w:val="16"/>
              </w:rPr>
              <w:t xml:space="preserve"> – Development and testing complete; the ISC will be communicating procedures for this process within a week or so; functionality will be available for December close.</w:t>
            </w:r>
          </w:p>
          <w:p>
            <w:pPr>
              <w:pStyle w:val="Normal"/>
              <w:tabs>
                <w:tab w:val="clear" w:pos="720"/>
                <w:tab w:val="left" w:pos="7650" w:leader="none"/>
              </w:tabs>
              <w:rPr/>
            </w:pPr>
            <w:r>
              <w:rPr>
                <w:rFonts w:cs="Arial" w:ascii="Arial" w:hAnsi="Arial"/>
                <w:b/>
                <w:sz w:val="16"/>
              </w:rPr>
              <w:t>EOTT Access to SAP</w:t>
            </w:r>
            <w:r>
              <w:rPr>
                <w:rFonts w:cs="Arial" w:ascii="Arial" w:hAnsi="Arial"/>
                <w:sz w:val="16"/>
              </w:rPr>
              <w:t xml:space="preserve"> – Connectivity issues have been resolved; have begun processes for security setup and desktop setup.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3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549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6"/>
              <w:tabs>
                <w:tab w:val="clear" w:pos="720"/>
                <w:tab w:val="left" w:pos="7650" w:leader="none"/>
              </w:tabs>
              <w:ind w:hanging="0" w:start="0"/>
              <w:rPr>
                <w:color w:val="008080"/>
              </w:rPr>
            </w:pPr>
            <w:r>
              <w:rPr>
                <w:color w:val="008080"/>
              </w:rPr>
              <w:t>Objectives for Next Month:</w:t>
            </w:r>
          </w:p>
        </w:tc>
        <w:tc>
          <w:tcPr>
            <w:tcW w:w="5499" w:type="dxa"/>
            <w:gridSpan w:val="3"/>
            <w:tcBorders>
              <w:start w:val="doub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tabs>
                <w:tab w:val="clear" w:pos="720"/>
                <w:tab w:val="left" w:pos="7650" w:leader="none"/>
              </w:tabs>
              <w:ind w:hanging="0" w:start="0"/>
              <w:rPr>
                <w:color w:val="008080"/>
              </w:rPr>
            </w:pPr>
            <w:r>
              <w:rPr>
                <w:color w:val="008080"/>
              </w:rPr>
              <w:t>Issues:</w:t>
            </w:r>
          </w:p>
        </w:tc>
      </w:tr>
      <w:tr>
        <w:trPr/>
        <w:tc>
          <w:tcPr>
            <w:tcW w:w="54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Continue with Assessment Trial/decision process.</w:t>
            </w:r>
          </w:p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Resolve FERC module issues.</w:t>
            </w:r>
          </w:p>
          <w:p>
            <w:pPr>
              <w:pStyle w:val="Normal"/>
              <w:tabs>
                <w:tab w:val="clear" w:pos="720"/>
                <w:tab w:val="left" w:pos="765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Make substantial progress on SAP to EOTT interface</w:t>
            </w:r>
          </w:p>
        </w:tc>
        <w:tc>
          <w:tcPr>
            <w:tcW w:w="5499" w:type="dxa"/>
            <w:gridSpan w:val="3"/>
            <w:tcBorders>
              <w:top w:val="single" w:sz="4" w:space="0" w:color="000000"/>
              <w:start w:val="double" w:sz="1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650" w:leader="none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tabs>
          <w:tab w:val="clear" w:pos="720"/>
          <w:tab w:val="left" w:pos="7650" w:leader="none"/>
        </w:tabs>
        <w:rPr>
          <w:sz w:val="16"/>
        </w:rPr>
      </w:pPr>
      <w:r>
        <w:rPr>
          <w:sz w:val="16"/>
        </w:rPr>
      </w:r>
    </w:p>
    <w:sectPr>
      <w:headerReference w:type="default" r:id="rId4"/>
      <w:footerReference w:type="default" r:id="rId5"/>
      <w:type w:val="nextPage"/>
      <w:pgSz w:w="12240" w:h="20160"/>
      <w:pgMar w:left="720" w:right="720" w:gutter="0" w:header="720" w:top="776" w:footer="720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G:/cfs/allteam.res/metrics/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FIS_Status_1100.doc</w:t>
    </w:r>
    <w:r>
      <w:rPr>
        <w:sz w:val="16"/>
        <w:lang w:eastAsia="en-US"/>
      </w:rPr>
      <w:fldChar w:fldCharType="end"/>
    </w:r>
    <w:r>
      <w:rPr>
        <w:sz w:val="16"/>
      </w:rPr>
      <w:t>.doc</w:t>
      <w:tab/>
      <w:tab/>
      <w:t xml:space="preserve">                 </w:t>
      <w:tab/>
    </w:r>
    <w:r>
      <w:rPr>
        <w:sz w:val="16"/>
        <w:lang w:eastAsia="en-US"/>
      </w:rPr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1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of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NUMPAGES \* ARABIC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1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090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258"/>
      <w:gridCol w:w="4832"/>
    </w:tblGrid>
    <w:tr>
      <w:trPr/>
      <w:tc>
        <w:tcPr>
          <w:tcW w:w="1258" w:type="dxa"/>
          <w:tcBorders/>
        </w:tcPr>
        <w:p>
          <w:pPr>
            <w:pStyle w:val="Normal"/>
            <w:snapToGrid w:val="false"/>
            <w:rPr>
              <w:sz w:val="16"/>
            </w:rPr>
          </w:pPr>
          <w:r>
            <w:rPr>
              <w:sz w:val="16"/>
            </w:rPr>
          </w:r>
        </w:p>
        <w:p>
          <w:pPr>
            <w:pStyle w:val="Normal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drawing>
              <wp:inline distT="0" distB="0" distL="0" distR="0">
                <wp:extent cx="624840" cy="618490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9" t="-39" r="-39" b="-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18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6"/>
            </w:rPr>
          </w:r>
        </w:p>
      </w:tc>
      <w:tc>
        <w:tcPr>
          <w:tcW w:w="4832" w:type="dxa"/>
          <w:tcBorders/>
        </w:tcPr>
        <w:p>
          <w:pPr>
            <w:pStyle w:val="Heading7"/>
            <w:snapToGrid w:val="false"/>
            <w:ind w:hanging="0" w:start="0"/>
            <w:jc w:val="center"/>
            <w:rPr>
              <w:b/>
              <w:color w:val="000080"/>
              <w:sz w:val="16"/>
            </w:rPr>
          </w:pPr>
          <w:r>
            <w:rPr>
              <w:b/>
              <w:color w:val="000080"/>
              <w:sz w:val="16"/>
            </w:rPr>
          </w:r>
        </w:p>
        <w:p>
          <w:pPr>
            <w:pStyle w:val="Heading7"/>
            <w:ind w:hanging="0" w:start="0"/>
            <w:jc w:val="center"/>
            <w:rPr>
              <w:b/>
              <w:color w:val="000080"/>
              <w:sz w:val="32"/>
            </w:rPr>
          </w:pPr>
          <w:r>
            <w:rPr>
              <w:b/>
              <w:color w:val="000080"/>
              <w:sz w:val="32"/>
            </w:rPr>
            <w:t>ETS IT</w:t>
          </w:r>
        </w:p>
        <w:p>
          <w:pPr>
            <w:pStyle w:val="Normal"/>
            <w:jc w:val="center"/>
            <w:rPr>
              <w:b/>
              <w:color w:val="000080"/>
              <w:sz w:val="16"/>
            </w:rPr>
          </w:pPr>
          <w:r>
            <w:rPr>
              <w:b/>
              <w:color w:val="000080"/>
              <w:sz w:val="16"/>
            </w:rPr>
          </w:r>
        </w:p>
        <w:p>
          <w:pPr>
            <w:pStyle w:val="Heading8"/>
            <w:ind w:hanging="0" w:start="0"/>
            <w:jc w:val="center"/>
            <w:rPr>
              <w:color w:val="000080"/>
              <w:sz w:val="24"/>
            </w:rPr>
          </w:pPr>
          <w:r>
            <w:rPr>
              <w:color w:val="000080"/>
              <w:sz w:val="24"/>
            </w:rPr>
            <w:t>FINANCIAL INFORMATION SERVICES</w:t>
          </w:r>
        </w:p>
        <w:p>
          <w:pPr>
            <w:pStyle w:val="Normal"/>
            <w:jc w:val="center"/>
            <w:rPr>
              <w:rFonts w:ascii="Arial" w:hAnsi="Arial" w:cs="Arial"/>
              <w:b/>
              <w:color w:val="000080"/>
              <w:sz w:val="18"/>
            </w:rPr>
          </w:pPr>
          <w:r>
            <w:rPr>
              <w:rFonts w:cs="Arial" w:ascii="Arial" w:hAnsi="Arial"/>
              <w:b/>
              <w:color w:val="000080"/>
              <w:sz w:val="18"/>
            </w:rPr>
            <w:t>December, 2000 Report for November, 2000 Activities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color w:val="008080"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color w:val="008080"/>
      <w:sz w:val="1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color w:val="00FFFF"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color w:val="FF0000"/>
      <w:sz w:val="24"/>
    </w:rPr>
  </w:style>
  <w:style w:type="paragraph" w:styleId="BodyText">
    <w:name w:val="Body Text"/>
    <w:basedOn w:val="Normal"/>
    <w:pPr>
      <w:tabs>
        <w:tab w:val="clear" w:pos="720"/>
        <w:tab w:val="left" w:pos="7650" w:leader="none"/>
      </w:tabs>
    </w:pPr>
    <w:rPr>
      <w:rFonts w:ascii="Arial" w:hAnsi="Arial" w:cs="Arial"/>
      <w:color w:val="000000"/>
      <w:sz w:val="16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color w:val="000080"/>
      <w:sz w:val="16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2000-12-13T12:59:00Z</dcterms:created>
  <dc:creator>mstubbs</dc:creator>
  <dc:description/>
  <dc:language>en-CA</dc:language>
  <cp:lastModifiedBy>msulliv</cp:lastModifiedBy>
  <cp:lastPrinted>2000-11-08T15:52:00Z</cp:lastPrinted>
  <dcterms:modified xsi:type="dcterms:W3CDTF">2000-12-13T13:03:00Z</dcterms:modified>
  <cp:revision>4</cp:revision>
  <dc:subject/>
  <dc:title>Team</dc:title>
</cp:coreProperties>
</file>