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Univers" w:hAnsi="Univers" w:cs="Univers"/>
          <w:smallCaps/>
          <w:sz w:val="20"/>
          <w:lang w:val="en-CA"/>
        </w:rPr>
      </w:pPr>
      <w:r>
        <w:rPr>
          <w:rFonts w:cs="Univers" w:ascii="Univers" w:hAnsi="Univers"/>
          <w:smallCaps/>
          <w:sz w:val="20"/>
          <w:lang w:val="en-CA"/>
        </w:rPr>
      </w:r>
      <w:r>
        <mc:AlternateContent>
          <mc:Choice Requires="wps">
            <w:drawing>
              <wp:anchor behindDoc="0" distT="0" distB="0" distL="114935" distR="114935" simplePos="0" locked="0" layoutInCell="1" allowOverlap="1" relativeHeight="10">
                <wp:simplePos x="0" y="0"/>
                <wp:positionH relativeFrom="column">
                  <wp:posOffset>0</wp:posOffset>
                </wp:positionH>
                <wp:positionV relativeFrom="paragraph">
                  <wp:posOffset>-457200</wp:posOffset>
                </wp:positionV>
                <wp:extent cx="5943600" cy="1554480"/>
                <wp:effectExtent l="0" t="0" r="0" b="0"/>
                <wp:wrapNone/>
                <wp:docPr id="1" name="Frame1"/>
                <a:graphic xmlns:a="http://schemas.openxmlformats.org/drawingml/2006/main">
                  <a:graphicData uri="http://schemas.microsoft.com/office/word/2010/wordprocessingShape">
                    <wps:wsp>
                      <wps:cNvSpPr txBox="1"/>
                      <wps:spPr>
                        <a:xfrm>
                          <a:off x="0" y="0"/>
                          <a:ext cx="5943600" cy="1554480"/>
                        </a:xfrm>
                        <a:prstGeom prst="rect"/>
                        <a:solidFill>
                          <a:srgbClr val="FFFFFF"/>
                        </a:solidFill>
                      </wps:spPr>
                      <wps:txbx>
                        <w:txbxContent>
                          <w:p>
                            <w:pPr>
                              <w:pStyle w:val="Heading"/>
                              <w:rPr/>
                            </w:pPr>
                            <w:r>
                              <w:rPr/>
                              <w:t>LeBoeuf, Lamb, Greene &amp; MacRae</w:t>
                            </w:r>
                          </w:p>
                          <w:p>
                            <w:pPr>
                              <w:pStyle w:val="Normal"/>
                              <w:jc w:val="center"/>
                              <w:rPr>
                                <w:rFonts w:ascii="Univers" w:hAnsi="Univers" w:cs="Univers"/>
                                <w:smallCaps/>
                                <w:sz w:val="12"/>
                              </w:rPr>
                            </w:pPr>
                            <w:r>
                              <w:rPr>
                                <w:rFonts w:cs="Univers" w:ascii="Univers" w:hAnsi="Univers"/>
                                <w:smallCaps/>
                                <w:sz w:val="32"/>
                              </w:rPr>
                              <w:t>L.L.P</w:t>
                            </w:r>
                          </w:p>
                          <w:p>
                            <w:pPr>
                              <w:pStyle w:val="Normal"/>
                              <w:jc w:val="center"/>
                              <w:rPr>
                                <w:rFonts w:ascii="Univers" w:hAnsi="Univers" w:cs="Univers"/>
                                <w:smallCaps/>
                                <w:sz w:val="20"/>
                              </w:rPr>
                            </w:pPr>
                            <w:r>
                              <w:rPr>
                                <w:rFonts w:cs="Univers" w:ascii="Univers" w:hAnsi="Univers"/>
                                <w:smallCaps/>
                                <w:sz w:val="12"/>
                              </w:rPr>
                              <w:t>A LIMITED LIABILITY PARTNERSHIP INCLUDING PROFESSIONAL CORPORATIONS</w:t>
                            </w:r>
                          </w:p>
                          <w:p>
                            <w:pPr>
                              <w:pStyle w:val="Normal"/>
                              <w:jc w:val="center"/>
                              <w:rPr>
                                <w:rFonts w:ascii="Univers" w:hAnsi="Univers" w:cs="Univers"/>
                                <w:smallCaps/>
                                <w:sz w:val="20"/>
                              </w:rPr>
                            </w:pPr>
                            <w:r>
                              <w:rPr>
                                <w:rFonts w:cs="Univers" w:ascii="Univers" w:hAnsi="Univers"/>
                                <w:smallCaps/>
                                <w:sz w:val="20"/>
                              </w:rPr>
                            </w:r>
                          </w:p>
                          <w:p>
                            <w:pPr>
                              <w:pStyle w:val="Normal"/>
                              <w:spacing w:before="0" w:after="100"/>
                              <w:jc w:val="center"/>
                              <w:rPr>
                                <w:rFonts w:ascii="Univers" w:hAnsi="Univers" w:cs="Univers"/>
                                <w:smallCaps/>
                                <w:sz w:val="20"/>
                              </w:rPr>
                            </w:pPr>
                            <w:r>
                              <w:rPr>
                                <w:rFonts w:cs="Univers" w:ascii="Univers" w:hAnsi="Univers"/>
                                <w:smallCaps/>
                                <w:sz w:val="20"/>
                              </w:rPr>
                              <w:t>1000 Louisiana</w:t>
                            </w:r>
                          </w:p>
                          <w:p>
                            <w:pPr>
                              <w:pStyle w:val="Normal"/>
                              <w:spacing w:before="0" w:after="100"/>
                              <w:jc w:val="center"/>
                              <w:rPr>
                                <w:rFonts w:ascii="Univers" w:hAnsi="Univers" w:cs="Univers"/>
                                <w:smallCaps/>
                                <w:sz w:val="20"/>
                              </w:rPr>
                            </w:pPr>
                            <w:r>
                              <w:rPr>
                                <w:rFonts w:cs="Univers" w:ascii="Univers" w:hAnsi="Univers"/>
                                <w:smallCaps/>
                                <w:sz w:val="20"/>
                              </w:rPr>
                              <w:t>Suite 1400</w:t>
                            </w:r>
                          </w:p>
                          <w:p>
                            <w:pPr>
                              <w:pStyle w:val="Normal"/>
                              <w:jc w:val="center"/>
                              <w:rPr>
                                <w:rFonts w:ascii="Univers" w:hAnsi="Univers" w:cs="Univers"/>
                                <w:smallCaps/>
                                <w:sz w:val="20"/>
                              </w:rPr>
                            </w:pPr>
                            <w:r>
                              <w:rPr>
                                <w:rFonts w:cs="Univers" w:ascii="Univers" w:hAnsi="Univers"/>
                                <w:smallCaps/>
                                <w:sz w:val="20"/>
                              </w:rPr>
                              <w:t>Houston, Texas 77002</w:t>
                            </w:r>
                          </w:p>
                        </w:txbxContent>
                      </wps:txbx>
                      <wps:bodyPr anchor="t" lIns="92075" tIns="46355" rIns="92075" bIns="46355">
                        <a:noAutofit/>
                      </wps:bodyPr>
                    </wps:wsp>
                  </a:graphicData>
                </a:graphic>
              </wp:anchor>
            </w:drawing>
          </mc:Choice>
          <mc:Fallback>
            <w:pict>
              <v:rect fillcolor="#FFFFFF" style="position:absolute;rotation:-0;width:468pt;height:122.4pt;mso-wrap-distance-left:9.05pt;mso-wrap-distance-right:9.05pt;mso-wrap-distance-top:0pt;mso-wrap-distance-bottom:0pt;margin-top:-36pt;mso-position-vertical-relative:text;margin-left:0pt;mso-position-horizontal-relative:text">
                <v:textbox inset="0.100694444444444in,0.0506944444444444in,0.100694444444444in,0.0506944444444444in">
                  <w:txbxContent>
                    <w:p>
                      <w:pPr>
                        <w:pStyle w:val="Heading"/>
                        <w:rPr/>
                      </w:pPr>
                      <w:r>
                        <w:rPr/>
                        <w:t>LeBoeuf, Lamb, Greene &amp; MacRae</w:t>
                      </w:r>
                    </w:p>
                    <w:p>
                      <w:pPr>
                        <w:pStyle w:val="Normal"/>
                        <w:jc w:val="center"/>
                        <w:rPr>
                          <w:rFonts w:ascii="Univers" w:hAnsi="Univers" w:cs="Univers"/>
                          <w:smallCaps/>
                          <w:sz w:val="12"/>
                        </w:rPr>
                      </w:pPr>
                      <w:r>
                        <w:rPr>
                          <w:rFonts w:cs="Univers" w:ascii="Univers" w:hAnsi="Univers"/>
                          <w:smallCaps/>
                          <w:sz w:val="32"/>
                        </w:rPr>
                        <w:t>L.L.P</w:t>
                      </w:r>
                    </w:p>
                    <w:p>
                      <w:pPr>
                        <w:pStyle w:val="Normal"/>
                        <w:jc w:val="center"/>
                        <w:rPr>
                          <w:rFonts w:ascii="Univers" w:hAnsi="Univers" w:cs="Univers"/>
                          <w:smallCaps/>
                          <w:sz w:val="20"/>
                        </w:rPr>
                      </w:pPr>
                      <w:r>
                        <w:rPr>
                          <w:rFonts w:cs="Univers" w:ascii="Univers" w:hAnsi="Univers"/>
                          <w:smallCaps/>
                          <w:sz w:val="12"/>
                        </w:rPr>
                        <w:t>A LIMITED LIABILITY PARTNERSHIP INCLUDING PROFESSIONAL CORPORATIONS</w:t>
                      </w:r>
                    </w:p>
                    <w:p>
                      <w:pPr>
                        <w:pStyle w:val="Normal"/>
                        <w:jc w:val="center"/>
                        <w:rPr>
                          <w:rFonts w:ascii="Univers" w:hAnsi="Univers" w:cs="Univers"/>
                          <w:smallCaps/>
                          <w:sz w:val="20"/>
                        </w:rPr>
                      </w:pPr>
                      <w:r>
                        <w:rPr>
                          <w:rFonts w:cs="Univers" w:ascii="Univers" w:hAnsi="Univers"/>
                          <w:smallCaps/>
                          <w:sz w:val="20"/>
                        </w:rPr>
                      </w:r>
                    </w:p>
                    <w:p>
                      <w:pPr>
                        <w:pStyle w:val="Normal"/>
                        <w:spacing w:before="0" w:after="100"/>
                        <w:jc w:val="center"/>
                        <w:rPr>
                          <w:rFonts w:ascii="Univers" w:hAnsi="Univers" w:cs="Univers"/>
                          <w:smallCaps/>
                          <w:sz w:val="20"/>
                        </w:rPr>
                      </w:pPr>
                      <w:r>
                        <w:rPr>
                          <w:rFonts w:cs="Univers" w:ascii="Univers" w:hAnsi="Univers"/>
                          <w:smallCaps/>
                          <w:sz w:val="20"/>
                        </w:rPr>
                        <w:t>1000 Louisiana</w:t>
                      </w:r>
                    </w:p>
                    <w:p>
                      <w:pPr>
                        <w:pStyle w:val="Normal"/>
                        <w:spacing w:before="0" w:after="100"/>
                        <w:jc w:val="center"/>
                        <w:rPr>
                          <w:rFonts w:ascii="Univers" w:hAnsi="Univers" w:cs="Univers"/>
                          <w:smallCaps/>
                          <w:sz w:val="20"/>
                        </w:rPr>
                      </w:pPr>
                      <w:r>
                        <w:rPr>
                          <w:rFonts w:cs="Univers" w:ascii="Univers" w:hAnsi="Univers"/>
                          <w:smallCaps/>
                          <w:sz w:val="20"/>
                        </w:rPr>
                        <w:t>Suite 1400</w:t>
                      </w:r>
                    </w:p>
                    <w:p>
                      <w:pPr>
                        <w:pStyle w:val="Normal"/>
                        <w:jc w:val="center"/>
                        <w:rPr>
                          <w:rFonts w:ascii="Univers" w:hAnsi="Univers" w:cs="Univers"/>
                          <w:smallCaps/>
                          <w:sz w:val="20"/>
                        </w:rPr>
                      </w:pPr>
                      <w:r>
                        <w:rPr>
                          <w:rFonts w:cs="Univers" w:ascii="Univers" w:hAnsi="Univers"/>
                          <w:smallCaps/>
                          <w:sz w:val="20"/>
                        </w:rPr>
                        <w:t>Houston, Texas 77002</w:t>
                      </w:r>
                    </w:p>
                  </w:txbxContent>
                </v:textbox>
                <w10:wrap type="none"/>
              </v:rect>
            </w:pict>
          </mc:Fallback>
        </mc:AlternateContent>
      </w:r>
    </w:p>
    <w:p>
      <w:pPr>
        <w:pStyle w:val="Normal"/>
        <w:jc w:val="center"/>
        <w:rPr>
          <w:rFonts w:ascii="Univers" w:hAnsi="Univers" w:cs="Univers"/>
          <w:smallCaps/>
          <w:sz w:val="20"/>
        </w:rPr>
      </w:pPr>
      <w:r>
        <w:rPr>
          <w:rFonts w:cs="Univers" w:ascii="Univers" w:hAnsi="Univers"/>
          <w:smallCaps/>
          <w:sz w:val="20"/>
        </w:rPr>
      </w:r>
    </w:p>
    <w:p>
      <w:pPr>
        <w:pStyle w:val="Normal"/>
        <w:jc w:val="center"/>
        <w:rPr>
          <w:rFonts w:ascii="Univers" w:hAnsi="Univers" w:cs="Univers"/>
          <w:smallCaps/>
          <w:sz w:val="20"/>
        </w:rPr>
      </w:pPr>
      <w:r>
        <w:rPr>
          <w:rFonts w:cs="Univers" w:ascii="Univers" w:hAnsi="Univers"/>
          <w:smallCaps/>
          <w:sz w:val="20"/>
        </w:rPr>
      </w:r>
    </w:p>
    <w:p>
      <w:pPr>
        <w:pStyle w:val="Normal"/>
        <w:tabs>
          <w:tab w:val="clear" w:pos="720"/>
          <w:tab w:val="left" w:pos="1440" w:leader="none"/>
        </w:tabs>
        <w:spacing w:before="1440" w:after="0"/>
        <w:ind w:hanging="1440" w:start="1440" w:end="0"/>
        <w:jc w:val="center"/>
        <w:rPr/>
      </w:pPr>
      <w:r>
        <w:rPr/>
        <w:t>April 23, 2001</w:t>
      </w:r>
    </w:p>
    <w:p>
      <w:pPr>
        <w:pStyle w:val="Normal"/>
        <w:tabs>
          <w:tab w:val="clear" w:pos="720"/>
          <w:tab w:val="left" w:pos="1440" w:leader="none"/>
        </w:tabs>
        <w:ind w:hanging="1440" w:start="1440" w:end="0"/>
        <w:jc w:val="center"/>
        <w:rPr/>
      </w:pPr>
      <w:r>
        <w:rPr/>
      </w:r>
    </w:p>
    <w:p>
      <w:pPr>
        <w:pStyle w:val="Normal"/>
        <w:tabs>
          <w:tab w:val="clear" w:pos="720"/>
          <w:tab w:val="left" w:pos="1440" w:leader="none"/>
        </w:tabs>
        <w:ind w:hanging="1440" w:start="1440" w:end="0"/>
        <w:rPr/>
      </w:pPr>
      <w:r>
        <w:rPr>
          <w:rFonts w:cs="Arial" w:ascii="Arial" w:hAnsi="Arial"/>
          <w:smallCaps/>
          <w:sz w:val="22"/>
        </w:rPr>
        <w:t>TO:</w:t>
        <w:tab/>
      </w:r>
      <w:r>
        <w:rPr/>
        <w:t>Marianne Castano</w:t>
      </w:r>
    </w:p>
    <w:p>
      <w:pPr>
        <w:pStyle w:val="Normal"/>
        <w:tabs>
          <w:tab w:val="clear" w:pos="720"/>
          <w:tab w:val="left" w:pos="1440" w:leader="none"/>
        </w:tabs>
        <w:ind w:hanging="1440" w:start="1440" w:end="0"/>
        <w:rPr/>
      </w:pPr>
      <w:r>
        <w:rPr/>
        <w:tab/>
        <w:t>Janet Moore</w:t>
      </w:r>
    </w:p>
    <w:p>
      <w:pPr>
        <w:pStyle w:val="Normal"/>
        <w:tabs>
          <w:tab w:val="clear" w:pos="720"/>
          <w:tab w:val="left" w:pos="1440" w:leader="none"/>
        </w:tabs>
        <w:ind w:hanging="1440" w:start="1440" w:end="0"/>
        <w:rPr/>
      </w:pPr>
      <w:r>
        <w:rPr/>
        <w:tab/>
        <w:t>Sarah Dietrich</w:t>
      </w:r>
    </w:p>
    <w:p>
      <w:pPr>
        <w:pStyle w:val="Normal"/>
        <w:tabs>
          <w:tab w:val="clear" w:pos="720"/>
          <w:tab w:val="left" w:pos="1440" w:leader="none"/>
        </w:tabs>
        <w:ind w:hanging="1440" w:start="1440" w:end="0"/>
        <w:rPr/>
      </w:pPr>
      <w:r>
        <w:rPr/>
        <w:tab/>
        <w:t>Heather Mathis</w:t>
      </w:r>
    </w:p>
    <w:p>
      <w:pPr>
        <w:pStyle w:val="Normal"/>
        <w:tabs>
          <w:tab w:val="clear" w:pos="720"/>
          <w:tab w:val="left" w:pos="1440" w:leader="none"/>
        </w:tabs>
        <w:ind w:hanging="1440" w:start="2880" w:end="0"/>
        <w:rPr>
          <w:rFonts w:ascii="Arial" w:hAnsi="Arial" w:cs="Arial"/>
          <w:smallCaps/>
          <w:sz w:val="22"/>
        </w:rPr>
      </w:pPr>
      <w:r>
        <w:rPr>
          <w:rFonts w:cs="Arial" w:ascii="Arial" w:hAnsi="Arial"/>
          <w:smallCaps/>
          <w:sz w:val="22"/>
        </w:rPr>
      </w:r>
    </w:p>
    <w:p>
      <w:pPr>
        <w:pStyle w:val="Normal"/>
        <w:numPr>
          <w:ilvl w:val="0"/>
          <w:numId w:val="0"/>
        </w:numPr>
        <w:tabs>
          <w:tab w:val="clear" w:pos="720"/>
          <w:tab w:val="left" w:pos="1440" w:leader="none"/>
        </w:tabs>
        <w:ind w:hanging="2160" w:start="2160" w:end="0"/>
        <w:outlineLvl w:val="0"/>
        <w:rPr/>
      </w:pPr>
      <w:r>
        <w:rPr>
          <w:rFonts w:cs="Arial" w:ascii="Arial" w:hAnsi="Arial"/>
          <w:smallCaps/>
          <w:sz w:val="22"/>
        </w:rPr>
        <w:t>FROM:</w:t>
        <w:tab/>
      </w:r>
      <w:r>
        <w:rPr/>
        <w:t>LeBoeuf, Lamb, Greene &amp; MacRae, LLP</w:t>
      </w:r>
    </w:p>
    <w:p>
      <w:pPr>
        <w:pStyle w:val="Normal"/>
        <w:tabs>
          <w:tab w:val="clear" w:pos="720"/>
          <w:tab w:val="left" w:pos="1440" w:leader="none"/>
        </w:tabs>
        <w:rPr>
          <w:rFonts w:ascii="Arial" w:hAnsi="Arial" w:cs="Arial"/>
          <w:smallCaps/>
          <w:sz w:val="22"/>
        </w:rPr>
      </w:pPr>
      <w:r>
        <w:rPr>
          <w:rFonts w:cs="Arial" w:ascii="Arial" w:hAnsi="Arial"/>
          <w:smallCaps/>
          <w:sz w:val="22"/>
        </w:rPr>
      </w:r>
    </w:p>
    <w:p>
      <w:pPr>
        <w:pStyle w:val="Normal"/>
        <w:tabs>
          <w:tab w:val="clear" w:pos="720"/>
          <w:tab w:val="left" w:pos="1440" w:leader="none"/>
        </w:tabs>
        <w:spacing w:before="0" w:after="480"/>
        <w:ind w:hanging="1440" w:start="1440" w:end="0"/>
        <w:rPr/>
      </w:pPr>
      <w:r>
        <w:rPr>
          <w:rFonts w:cs="Arial" w:ascii="Arial" w:hAnsi="Arial"/>
          <w:smallCaps/>
          <w:sz w:val="22"/>
        </w:rPr>
        <w:t>RE:</w:t>
        <w:tab/>
      </w:r>
      <w:r>
        <w:rPr>
          <w:u w:val="single"/>
        </w:rPr>
        <w:t>Electric Retail Compliance Report: First Quarter 2001 Update</w:t>
      </w:r>
    </w:p>
    <w:p>
      <w:pPr>
        <w:pStyle w:val="Normal"/>
        <w:rPr/>
      </w:pPr>
      <w:r>
        <w:rPr/>
        <w:tab/>
        <w:t xml:space="preserve">The following first quarter updates are reflected on the website (i) in the “update” section of the website (the page that first appears when a state is prompted) and (ii) within the body of the state’s report in manual redline format.  The previous quarter’s updates, provided on December 20, 2000, now appear in normal text.  </w:t>
      </w:r>
      <w:r>
        <w:rPr>
          <w:b/>
          <w:u w:val="single"/>
        </w:rPr>
        <w:t>Please note that the login information for the website has changed; to access the website:</w:t>
      </w:r>
    </w:p>
    <w:p>
      <w:pPr>
        <w:pStyle w:val="Normal"/>
        <w:rPr/>
      </w:pPr>
      <w:r>
        <w:rPr/>
      </w:r>
    </w:p>
    <w:p>
      <w:pPr>
        <w:pStyle w:val="Normal"/>
        <w:rPr/>
      </w:pPr>
      <w:r>
        <w:rPr/>
        <w:tab/>
        <w:tab/>
        <w:t>http://web-2.interliant.com/llgm/enron/llgm.nsf</w:t>
      </w:r>
    </w:p>
    <w:p>
      <w:pPr>
        <w:pStyle w:val="Normal"/>
        <w:rPr/>
      </w:pPr>
      <w:r>
        <w:rPr/>
        <w:tab/>
        <w:tab/>
        <w:t>user name:</w:t>
        <w:tab/>
        <w:t>llgm</w:t>
      </w:r>
    </w:p>
    <w:p>
      <w:pPr>
        <w:pStyle w:val="Normal"/>
        <w:rPr/>
      </w:pPr>
      <w:r>
        <w:rPr/>
        <w:tab/>
        <w:tab/>
        <w:t>password:</w:t>
        <w:tab/>
        <w:t>astros</w:t>
      </w:r>
    </w:p>
    <w:p>
      <w:pPr>
        <w:pStyle w:val="Normal"/>
        <w:rPr/>
      </w:pPr>
      <w:r>
        <w:rPr/>
      </w:r>
    </w:p>
    <w:p>
      <w:pPr>
        <w:pStyle w:val="BodyText"/>
        <w:rPr/>
      </w:pPr>
      <w:r>
        <w:rPr/>
        <w:t>The following is a listing of the responsible LLGM attorneys for each state.  Feel free to contact the responsible attorney (or any of us involved in the project) for further information or questions.  Our phone numbers and email addresses are as follows:</w:t>
      </w:r>
    </w:p>
    <w:p>
      <w:pPr>
        <w:pStyle w:val="BodyText"/>
        <w:rPr/>
      </w:pPr>
      <w:r>
        <w:rPr/>
      </w:r>
    </w:p>
    <w:p>
      <w:pPr>
        <w:pStyle w:val="BodyText"/>
        <w:ind w:firstLine="1350" w:end="0"/>
        <w:rPr/>
      </w:pPr>
      <w:r>
        <w:rPr/>
        <w:t>John Klauberg</w:t>
        <w:tab/>
        <w:tab/>
        <w:t>212.424.8125</w:t>
        <w:tab/>
        <w:tab/>
        <w:t>jklauber@llgm.com</w:t>
      </w:r>
    </w:p>
    <w:p>
      <w:pPr>
        <w:pStyle w:val="BodyText"/>
        <w:ind w:firstLine="1350" w:end="0"/>
        <w:rPr/>
      </w:pPr>
      <w:r>
        <w:rPr/>
        <w:t>John Maas</w:t>
        <w:tab/>
        <w:tab/>
        <w:t>303.291.2614</w:t>
        <w:tab/>
        <w:tab/>
        <w:t>jmaas@llgm.com</w:t>
      </w:r>
    </w:p>
    <w:p>
      <w:pPr>
        <w:pStyle w:val="BodyText"/>
        <w:ind w:firstLine="1350" w:end="0"/>
        <w:rPr/>
      </w:pPr>
      <w:r>
        <w:rPr/>
        <w:t>Sandy Cofer</w:t>
        <w:tab/>
        <w:tab/>
        <w:t>713.287.2002</w:t>
        <w:tab/>
        <w:tab/>
        <w:t>scofer@llgm.com</w:t>
      </w:r>
    </w:p>
    <w:p>
      <w:pPr>
        <w:pStyle w:val="BodyText"/>
        <w:ind w:firstLine="1350" w:end="0"/>
        <w:rPr/>
      </w:pPr>
      <w:r>
        <w:rPr/>
        <w:t>Mark Baker</w:t>
        <w:tab/>
        <w:tab/>
        <w:t>303.291.2642</w:t>
        <w:tab/>
        <w:tab/>
        <w:t>mbaker@llgm.com</w:t>
      </w:r>
    </w:p>
    <w:p>
      <w:pPr>
        <w:pStyle w:val="BodyText"/>
        <w:ind w:firstLine="1350" w:end="0"/>
        <w:rPr/>
      </w:pPr>
      <w:r>
        <w:rPr/>
        <w:t>Frank Wu</w:t>
        <w:tab/>
        <w:tab/>
        <w:t>713.287.2026</w:t>
        <w:tab/>
        <w:tab/>
        <w:t>fwu@llgm.com</w:t>
      </w:r>
    </w:p>
    <w:p>
      <w:pPr>
        <w:pStyle w:val="Normal"/>
        <w:rPr/>
      </w:pPr>
      <w:r>
        <w:rPr/>
      </w:r>
    </w:p>
    <w:tbl>
      <w:tblPr>
        <w:tblW w:w="4386" w:type="dxa"/>
        <w:jc w:val="center"/>
        <w:tblInd w:w="0" w:type="dxa"/>
        <w:tblLayout w:type="fixed"/>
        <w:tblCellMar>
          <w:top w:w="0" w:type="dxa"/>
          <w:start w:w="108" w:type="dxa"/>
          <w:bottom w:w="0" w:type="dxa"/>
          <w:end w:w="108" w:type="dxa"/>
        </w:tblCellMar>
      </w:tblPr>
      <w:tblGrid>
        <w:gridCol w:w="1814"/>
        <w:gridCol w:w="2572"/>
      </w:tblGrid>
      <w:tr>
        <w:trPr/>
        <w:tc>
          <w:tcPr>
            <w:tcW w:w="1814"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left" w:pos="990" w:leader="none"/>
              </w:tabs>
              <w:snapToGrid w:val="false"/>
              <w:rPr>
                <w:b/>
              </w:rPr>
            </w:pPr>
            <w:r>
              <w:rPr>
                <w:b/>
              </w:rPr>
            </w:r>
          </w:p>
          <w:p>
            <w:pPr>
              <w:pStyle w:val="Heading2"/>
              <w:ind w:hanging="0" w:start="0"/>
              <w:rPr/>
            </w:pPr>
            <w:r>
              <w:rPr/>
              <w:t>State</w:t>
            </w:r>
          </w:p>
        </w:tc>
        <w:tc>
          <w:tcPr>
            <w:tcW w:w="2572"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left" w:pos="990" w:leader="none"/>
              </w:tabs>
              <w:jc w:val="center"/>
              <w:rPr>
                <w:b/>
              </w:rPr>
            </w:pPr>
            <w:r>
              <w:rPr>
                <w:b/>
              </w:rPr>
              <w:t>LLGM</w:t>
            </w:r>
          </w:p>
          <w:p>
            <w:pPr>
              <w:pStyle w:val="Normal"/>
              <w:tabs>
                <w:tab w:val="clear" w:pos="720"/>
                <w:tab w:val="left" w:pos="990" w:leader="none"/>
              </w:tabs>
              <w:jc w:val="center"/>
              <w:rPr>
                <w:b/>
              </w:rPr>
            </w:pPr>
            <w:r>
              <w:rPr>
                <w:b/>
              </w:rPr>
              <w:t>Attorney</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Arizona</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Sandy Cofer</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California</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Sandy Cofer</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Connecticut</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Mark Baker</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Illinois</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Frank Wu</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rPr/>
            </w:pPr>
            <w:r>
              <w:rPr/>
              <w:t>Maine</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Sandy Cofer</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Maryland</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Sandy Cofer</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Massachusetts</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Sandy Cofer</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Montana</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 xml:space="preserve">Frank Wu </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Nevada</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Frank Wu</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New Hampshire</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Sandy Cofer</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New Jersey</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Mark Baker</w:t>
            </w:r>
          </w:p>
        </w:tc>
      </w:tr>
      <w:tr>
        <w:trPr/>
        <w:tc>
          <w:tcPr>
            <w:tcW w:w="1814" w:type="dxa"/>
            <w:tcBorders>
              <w:top w:val="single" w:sz="4" w:space="0" w:color="000000"/>
              <w:start w:val="single" w:sz="4" w:space="0" w:color="000000"/>
              <w:end w:val="single" w:sz="4" w:space="0" w:color="000000"/>
            </w:tcBorders>
          </w:tcPr>
          <w:p>
            <w:pPr>
              <w:pStyle w:val="Normal"/>
              <w:tabs>
                <w:tab w:val="clear" w:pos="720"/>
                <w:tab w:val="left" w:pos="990" w:leader="none"/>
              </w:tabs>
              <w:rPr/>
            </w:pPr>
            <w:r>
              <w:rPr/>
              <w:t>New Mexico</w:t>
            </w:r>
          </w:p>
        </w:tc>
        <w:tc>
          <w:tcPr>
            <w:tcW w:w="2572" w:type="dxa"/>
            <w:tcBorders>
              <w:top w:val="single" w:sz="4" w:space="0" w:color="000000"/>
              <w:start w:val="single" w:sz="4" w:space="0" w:color="000000"/>
              <w:end w:val="single" w:sz="4" w:space="0" w:color="000000"/>
            </w:tcBorders>
          </w:tcPr>
          <w:p>
            <w:pPr>
              <w:pStyle w:val="Normal"/>
              <w:tabs>
                <w:tab w:val="clear" w:pos="720"/>
                <w:tab w:val="left" w:pos="990" w:leader="none"/>
              </w:tabs>
              <w:jc w:val="center"/>
              <w:rPr/>
            </w:pPr>
            <w:r>
              <w:rPr/>
              <w:t>Mark Baker</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New York</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Mark Baker</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Ohio</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Sandy Cofer</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Oregon</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Sandy Cofer</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Pennsylvania</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Frank Wu</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Rhode Island</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Frank Wu</w:t>
            </w:r>
          </w:p>
        </w:tc>
      </w:tr>
      <w:tr>
        <w:trPr/>
        <w:tc>
          <w:tcPr>
            <w:tcW w:w="1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rPr/>
            </w:pPr>
            <w:r>
              <w:rPr/>
              <w:t>Texas</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0" w:leader="none"/>
              </w:tabs>
              <w:jc w:val="center"/>
              <w:rPr/>
            </w:pPr>
            <w:r>
              <w:rPr/>
              <w:t>Mark Baker</w:t>
            </w:r>
          </w:p>
        </w:tc>
      </w:tr>
    </w:tbl>
    <w:p>
      <w:pPr>
        <w:pStyle w:val="Normal"/>
        <w:rPr/>
      </w:pPr>
      <w:r>
        <w:rPr/>
      </w:r>
    </w:p>
    <w:p>
      <w:pPr>
        <w:pStyle w:val="Normal"/>
        <w:rPr/>
      </w:pPr>
      <w:r>
        <w:rPr/>
      </w:r>
    </w:p>
    <w:p>
      <w:pPr>
        <w:pStyle w:val="Normal"/>
        <w:rPr>
          <w:u w:val="single"/>
        </w:rPr>
      </w:pPr>
      <w:r>
        <w:rPr>
          <w:u w:val="single"/>
        </w:rPr>
        <w:t>General Updates</w:t>
      </w:r>
    </w:p>
    <w:p>
      <w:pPr>
        <w:pStyle w:val="Normal"/>
        <w:rPr/>
      </w:pPr>
      <w:r>
        <w:rPr/>
      </w:r>
    </w:p>
    <w:p>
      <w:pPr>
        <w:pStyle w:val="Normal"/>
        <w:numPr>
          <w:ilvl w:val="0"/>
          <w:numId w:val="12"/>
        </w:numPr>
        <w:rPr/>
      </w:pPr>
      <w:r>
        <w:rPr/>
        <w:t>At your request, as an extension of the memo we provided on February 1, 2001, we have added information on deposits and interest on deposits to the website reports.  This new information, where applicable, appears in the “Miscellaneous / Other Requirements” sections of each state report.</w:t>
      </w:r>
    </w:p>
    <w:p>
      <w:pPr>
        <w:pStyle w:val="Normal"/>
        <w:rPr/>
      </w:pPr>
      <w:r>
        <w:rPr/>
      </w:r>
    </w:p>
    <w:p>
      <w:pPr>
        <w:pStyle w:val="Normal"/>
        <w:numPr>
          <w:ilvl w:val="0"/>
          <w:numId w:val="16"/>
        </w:numPr>
        <w:rPr>
          <w:u w:val="single"/>
        </w:rPr>
      </w:pPr>
      <w:r>
        <w:rPr/>
        <w:t xml:space="preserve">Since the last update provided on December 20, 2000, we have been working with Allison to add current disclosure labels to the website.  For each state where disclosure labels are available, we have added a section of the report titled “Disclosure Label(s)”.  </w:t>
      </w:r>
    </w:p>
    <w:p>
      <w:pPr>
        <w:pStyle w:val="Normal"/>
        <w:rPr>
          <w:u w:val="single"/>
        </w:rPr>
      </w:pPr>
      <w:r>
        <w:rPr>
          <w:u w:val="single"/>
        </w:rPr>
      </w:r>
    </w:p>
    <w:p>
      <w:pPr>
        <w:pStyle w:val="Normal"/>
        <w:rPr>
          <w:u w:val="single"/>
        </w:rPr>
      </w:pPr>
      <w:r>
        <w:rPr>
          <w:u w:val="single"/>
        </w:rPr>
        <w:t>Arizona</w:t>
      </w:r>
    </w:p>
    <w:p>
      <w:pPr>
        <w:pStyle w:val="Footer"/>
        <w:tabs>
          <w:tab w:val="clear" w:pos="4320"/>
          <w:tab w:val="clear" w:pos="8640"/>
        </w:tabs>
        <w:rPr>
          <w:u w:val="single"/>
        </w:rPr>
      </w:pPr>
      <w:r>
        <w:rPr>
          <w:u w:val="single"/>
        </w:rPr>
      </w:r>
    </w:p>
    <w:p>
      <w:pPr>
        <w:pStyle w:val="Normal"/>
        <w:numPr>
          <w:ilvl w:val="0"/>
          <w:numId w:val="13"/>
        </w:numPr>
        <w:rPr/>
      </w:pPr>
      <w:r>
        <w:rPr/>
        <w:t>On November 9, 2000, the ACC adopted rules setting forth environmental portfolio standards (</w:t>
      </w:r>
      <w:r>
        <w:rPr>
          <w:i/>
        </w:rPr>
        <w:t>See</w:t>
      </w:r>
      <w:r>
        <w:rPr/>
        <w:t xml:space="preserve"> </w:t>
      </w:r>
      <w:hyperlink r:id="rId2">
        <w:r>
          <w:rPr>
            <w:rStyle w:val="Hyperlink"/>
          </w:rPr>
          <w:t>ACC Decision No. 63364, November 9, 2000</w:t>
        </w:r>
      </w:hyperlink>
      <w:r>
        <w:rPr/>
        <w:t xml:space="preserve">).  Suppliers are exempt from environmental portfolio requirements until </w:t>
      </w:r>
      <w:r>
        <w:rPr>
          <w:u w:val="single"/>
        </w:rPr>
        <w:t>2004</w:t>
      </w:r>
      <w:r>
        <w:rPr/>
        <w:t xml:space="preserve"> (the rules currently apply to UDCs only); however, Suppliers may voluntarily elect to participate and receive a pro rata share of funds collected from the Environmental Portfolio Surcharge. (Updates reflected in “Renewable Resource Requirements”).</w:t>
      </w:r>
    </w:p>
    <w:p>
      <w:pPr>
        <w:pStyle w:val="Normal"/>
        <w:rPr/>
      </w:pPr>
      <w:r>
        <w:rPr/>
      </w:r>
    </w:p>
    <w:p>
      <w:pPr>
        <w:pStyle w:val="Normal"/>
        <w:numPr>
          <w:ilvl w:val="0"/>
          <w:numId w:val="22"/>
        </w:numPr>
        <w:rPr/>
      </w:pPr>
      <w:r>
        <w:rPr/>
        <w:t>The ACC recently made available the State of Arizona Direct Access Service Request Handbook (the “Handbook”) (</w:t>
      </w:r>
      <w:r>
        <w:rPr>
          <w:i/>
        </w:rPr>
        <w:t>See</w:t>
      </w:r>
      <w:r>
        <w:rPr/>
        <w:t xml:space="preserve"> </w:t>
      </w:r>
      <w:hyperlink r:id="rId3">
        <w:r>
          <w:rPr>
            <w:rStyle w:val="Hyperlink"/>
          </w:rPr>
          <w:t>Handbook</w:t>
        </w:r>
      </w:hyperlink>
      <w:r>
        <w:rPr/>
        <w:t xml:space="preserve">).  The Handbook contains the following modifications and additions to the rules governing the signing up of new customers for direct access electric service.  First, prior to submitting a DASR on a customer’s behalf, a Supplier must have a signed letter of authorization from the customer requesting direct access electric service and authorizing release of customer consumption history to the Supplier.  (Update reflected in “Miscellaneous/Other Requirements (3)”).  Also, a Supplier must submit a DASR to the UDC a minimum of </w:t>
      </w:r>
      <w:r>
        <w:rPr>
          <w:u w:val="single"/>
        </w:rPr>
        <w:t>15 calendar days</w:t>
      </w:r>
      <w:r>
        <w:rPr/>
        <w:t xml:space="preserve"> prior to the requested change date for a customer.  (Update reflected in “Miscellaneous/Other Requirements”).</w:t>
      </w:r>
    </w:p>
    <w:p>
      <w:pPr>
        <w:pStyle w:val="Normal"/>
        <w:rPr/>
      </w:pPr>
      <w:r>
        <w:rPr/>
      </w:r>
    </w:p>
    <w:p>
      <w:pPr>
        <w:pStyle w:val="Normal"/>
        <w:rPr>
          <w:u w:val="single"/>
        </w:rPr>
      </w:pPr>
      <w:r>
        <w:rPr>
          <w:u w:val="single"/>
        </w:rPr>
        <w:t>California</w:t>
      </w:r>
    </w:p>
    <w:p>
      <w:pPr>
        <w:pStyle w:val="Normal"/>
        <w:rPr>
          <w:u w:val="single"/>
        </w:rPr>
      </w:pPr>
      <w:r>
        <w:rPr>
          <w:u w:val="single"/>
        </w:rPr>
      </w:r>
    </w:p>
    <w:p>
      <w:pPr>
        <w:pStyle w:val="Normal"/>
        <w:numPr>
          <w:ilvl w:val="0"/>
          <w:numId w:val="8"/>
        </w:numPr>
        <w:rPr/>
      </w:pPr>
      <w:r>
        <w:rPr/>
        <w:t>On March 5, 2001, the California Energy Commission (“CEC”) adopted amended electricity generation source disclosure requirements (</w:t>
      </w:r>
      <w:r>
        <w:rPr>
          <w:i/>
        </w:rPr>
        <w:t>See</w:t>
      </w:r>
      <w:r>
        <w:rPr/>
        <w:t xml:space="preserve"> </w:t>
      </w:r>
      <w:hyperlink r:id="rId4">
        <w:r>
          <w:rPr>
            <w:rStyle w:val="Hyperlink"/>
          </w:rPr>
          <w:t>20 CCR 1390 to 1394</w:t>
        </w:r>
      </w:hyperlink>
      <w:r>
        <w:rPr/>
        <w:t>).  As a result, the following changes have been incorporated into to the California Reporting Requirements memorandum (the “California Memo”).</w:t>
      </w:r>
    </w:p>
    <w:p>
      <w:pPr>
        <w:pStyle w:val="Normal"/>
        <w:rPr/>
      </w:pPr>
      <w:r>
        <w:rPr/>
      </w:r>
    </w:p>
    <w:p>
      <w:pPr>
        <w:pStyle w:val="Normal"/>
        <w:numPr>
          <w:ilvl w:val="0"/>
          <w:numId w:val="20"/>
        </w:numPr>
        <w:tabs>
          <w:tab w:val="clear" w:pos="720"/>
          <w:tab w:val="left" w:pos="810" w:leader="none"/>
        </w:tabs>
        <w:rPr/>
      </w:pPr>
      <w:r>
        <w:rPr/>
        <w:t xml:space="preserve">The required contents of the attestation which is required to be submitted to the CEC on </w:t>
      </w:r>
      <w:r>
        <w:rPr>
          <w:u w:val="single"/>
        </w:rPr>
        <w:t>March 1</w:t>
      </w:r>
      <w:r>
        <w:rPr/>
        <w:t xml:space="preserve"> of each year has changed, and in the California Memo this attestation is now referred to as the Annual Supplier Filing.  This filing, in addition to an attestation, signed by an authorized agent of the Supplier that the Generating Facility Output claimed by the Supplier as a Specific Purchase was sold only once to retail customers, must also include (i) certain information relating to the Supplier’s purchases of electricity, (ii) certain information relating to the Supplier’s sales of electricity, (iii) a comparison of the Supplier’s purchases and sales of electricity and (iv) under certain circumstances, copies of the Supplier’s Marketing Disclosure Labels for the previous calendar year.  (Updates reflected in “Items Required for Delivery to Commission(s)” and in 2001 and 2002 Calendar).</w:t>
      </w:r>
    </w:p>
    <w:p>
      <w:pPr>
        <w:pStyle w:val="Header"/>
        <w:tabs>
          <w:tab w:val="clear" w:pos="4320"/>
          <w:tab w:val="clear" w:pos="8640"/>
        </w:tabs>
        <w:rPr/>
      </w:pPr>
      <w:r>
        <w:rPr/>
      </w:r>
    </w:p>
    <w:p>
      <w:pPr>
        <w:pStyle w:val="Normal"/>
        <w:numPr>
          <w:ilvl w:val="0"/>
          <w:numId w:val="20"/>
        </w:numPr>
        <w:tabs>
          <w:tab w:val="clear" w:pos="720"/>
          <w:tab w:val="left" w:pos="810" w:leader="none"/>
        </w:tabs>
        <w:rPr/>
      </w:pPr>
      <w:r>
        <w:rPr/>
        <w:t xml:space="preserve">Suppliers may provide Annual Disclosure Labels and Quarterly Disclosure Labels to customers via the Internet, provided that the customer has consented to receiving Internet notice in lieu of service by U.S. mail (whether this consent must be in writing is not specified in the California Rules).  (Updates reflected in “Certain Local Definitions”).  </w:t>
      </w:r>
    </w:p>
    <w:p>
      <w:pPr>
        <w:pStyle w:val="Header"/>
        <w:tabs>
          <w:tab w:val="clear" w:pos="4320"/>
          <w:tab w:val="clear" w:pos="8640"/>
        </w:tabs>
        <w:rPr/>
      </w:pPr>
      <w:r>
        <w:rPr/>
      </w:r>
    </w:p>
    <w:p>
      <w:pPr>
        <w:pStyle w:val="Normal"/>
        <w:numPr>
          <w:ilvl w:val="0"/>
          <w:numId w:val="20"/>
        </w:numPr>
        <w:tabs>
          <w:tab w:val="clear" w:pos="720"/>
          <w:tab w:val="left" w:pos="810" w:leader="none"/>
        </w:tabs>
        <w:rPr/>
      </w:pPr>
      <w:r>
        <w:rPr/>
        <w:t xml:space="preserve">The required contents and procedures with respect to the attestation, which must be submitted to the CEC on </w:t>
      </w:r>
      <w:r>
        <w:rPr>
          <w:u w:val="single"/>
        </w:rPr>
        <w:t>June 1</w:t>
      </w:r>
      <w:r>
        <w:rPr/>
        <w:t xml:space="preserve"> of each year, have slightly changed.  Suppliers are now required to provide a report prepared by an auditor who followed certain procedures specified by the CEC.  In addition, the auditor’s report must include a summary of the results of the auditor’s procedures and proof of service of the Supplier’s Annual Disclosure Label and Quarterly Disclosure Labels for the previous calendar year upon all customers.  (Update reflected in “Items Required for Delivery to Commission(s)”).</w:t>
      </w:r>
    </w:p>
    <w:p>
      <w:pPr>
        <w:pStyle w:val="Header"/>
        <w:tabs>
          <w:tab w:val="clear" w:pos="4320"/>
          <w:tab w:val="clear" w:pos="8640"/>
        </w:tabs>
        <w:rPr/>
      </w:pPr>
      <w:r>
        <w:rPr/>
      </w:r>
    </w:p>
    <w:p>
      <w:pPr>
        <w:pStyle w:val="Normal"/>
        <w:numPr>
          <w:ilvl w:val="0"/>
          <w:numId w:val="20"/>
        </w:numPr>
        <w:tabs>
          <w:tab w:val="clear" w:pos="720"/>
          <w:tab w:val="left" w:pos="810" w:leader="none"/>
        </w:tabs>
        <w:rPr/>
      </w:pPr>
      <w:r>
        <w:rPr/>
        <w:t>All Suppliers must submit their Quarterly Disclosure Labels to the CEC at the time such labels are provided to customers as set forth in the California Memo.  (Update reflected in “Items Required for Delivery to Commission(s)” and the 2001 and 2001 Calendars).</w:t>
      </w:r>
    </w:p>
    <w:p>
      <w:pPr>
        <w:pStyle w:val="Normal"/>
        <w:rPr/>
      </w:pPr>
      <w:r>
        <w:rPr/>
      </w:r>
    </w:p>
    <w:p>
      <w:pPr>
        <w:pStyle w:val="Normal"/>
        <w:numPr>
          <w:ilvl w:val="0"/>
          <w:numId w:val="20"/>
        </w:numPr>
        <w:tabs>
          <w:tab w:val="clear" w:pos="720"/>
          <w:tab w:val="left" w:pos="810" w:leader="none"/>
        </w:tabs>
        <w:rPr/>
      </w:pPr>
      <w:r>
        <w:rPr/>
        <w:t>All Suppliers making a Claim of Specific Purchases must submit their Annual Disclosure Labels to the CEC at the time such labels are provided to customers, as set forth in the California Memo.  (Update reflected in “Items Required for Delivery to Commission(s)” and the 2001 and 2001 Calendars).</w:t>
      </w:r>
    </w:p>
    <w:p>
      <w:pPr>
        <w:pStyle w:val="Footer"/>
        <w:numPr>
          <w:ilvl w:val="0"/>
          <w:numId w:val="7"/>
        </w:numPr>
        <w:spacing w:before="120" w:after="120"/>
        <w:rPr/>
      </w:pPr>
      <w:r>
        <w:rPr/>
        <w:t>The Center for Resource Solutions’s (“</w:t>
      </w:r>
      <w:r>
        <w:rPr>
          <w:u w:val="single"/>
        </w:rPr>
        <w:t>CRS</w:t>
      </w:r>
      <w:r>
        <w:rPr/>
        <w:t>”) (</w:t>
      </w:r>
      <w:r>
        <w:rPr>
          <w:i/>
        </w:rPr>
        <w:t>See</w:t>
      </w:r>
      <w:r>
        <w:rPr/>
        <w:t xml:space="preserve"> </w:t>
      </w:r>
      <w:hyperlink r:id="rId5">
        <w:r>
          <w:rPr>
            <w:rStyle w:val="Hyperlink"/>
          </w:rPr>
          <w:t>CRS website</w:t>
        </w:r>
      </w:hyperlink>
      <w:r>
        <w:rPr/>
        <w:t>) voluntary renewable electricity certification program allows Suppliers to place the CRS Green-e logo on their marketing materials (the “Green-e Program”).  In order for Suppliers to continue participating in the Green-e Program, they must submit the following the following information to the CRS:</w:t>
      </w:r>
    </w:p>
    <w:p>
      <w:pPr>
        <w:pStyle w:val="Footer"/>
        <w:numPr>
          <w:ilvl w:val="0"/>
          <w:numId w:val="6"/>
        </w:numPr>
        <w:tabs>
          <w:tab w:val="left" w:pos="810" w:leader="none"/>
          <w:tab w:val="center" w:pos="4320" w:leader="none"/>
          <w:tab w:val="right" w:pos="8640" w:leader="none"/>
        </w:tabs>
        <w:spacing w:before="120" w:after="120"/>
        <w:rPr/>
      </w:pPr>
      <w:r>
        <w:rPr/>
        <w:t xml:space="preserve">Suppliers must have a certified public accountant or certified internal auditor conduct an annual verification process to substantiate electricity product purchases and sales, as well as Claims of Specific Purchases made during the previous calendar year.  The results of the verification must be submitted to the CRS no later than </w:t>
      </w:r>
      <w:r>
        <w:rPr>
          <w:u w:val="single"/>
        </w:rPr>
        <w:t>May 31</w:t>
      </w:r>
      <w:r>
        <w:rPr/>
        <w:t xml:space="preserve"> of each year.  (Update reflected in “Miscellaneous/Other Requirements” and the 2001 and 2001 Calendars).</w:t>
      </w:r>
    </w:p>
    <w:p>
      <w:pPr>
        <w:pStyle w:val="Footer"/>
        <w:numPr>
          <w:ilvl w:val="0"/>
          <w:numId w:val="6"/>
        </w:numPr>
        <w:tabs>
          <w:tab w:val="left" w:pos="810" w:leader="none"/>
          <w:tab w:val="center" w:pos="4320" w:leader="none"/>
          <w:tab w:val="right" w:pos="8640" w:leader="none"/>
        </w:tabs>
        <w:spacing w:before="120" w:after="120"/>
        <w:rPr/>
      </w:pPr>
      <w:r>
        <w:rPr/>
        <w:t>Suppliers must conduct and submit to the CRS an unaudited annual verification to substantiate electricity product purchases and sales, as well as Claims of Specific Purchases made during the previous calendar year.  The unaudited verification must be submitted to the CRS no later than March 1 of each year. (Update reflected in “Miscellaneous/Other Requirements” and the 2001 and 2001 Calendars).</w:t>
      </w:r>
    </w:p>
    <w:p>
      <w:pPr>
        <w:pStyle w:val="Footer"/>
        <w:numPr>
          <w:ilvl w:val="0"/>
          <w:numId w:val="6"/>
        </w:numPr>
        <w:tabs>
          <w:tab w:val="left" w:pos="810" w:leader="none"/>
          <w:tab w:val="center" w:pos="4320" w:leader="none"/>
          <w:tab w:val="right" w:pos="8640" w:leader="none"/>
        </w:tabs>
        <w:spacing w:before="120" w:after="120"/>
        <w:rPr/>
      </w:pPr>
      <w:r>
        <w:rPr/>
        <w:t xml:space="preserve">On </w:t>
      </w:r>
      <w:r>
        <w:rPr>
          <w:u w:val="single"/>
        </w:rPr>
        <w:t>February 1</w:t>
      </w:r>
      <w:r>
        <w:rPr/>
        <w:t xml:space="preserve"> and </w:t>
      </w:r>
      <w:r>
        <w:rPr>
          <w:u w:val="single"/>
        </w:rPr>
        <w:t>August 1</w:t>
      </w:r>
      <w:r>
        <w:rPr/>
        <w:t xml:space="preserve"> of each year, Suppliers must submit to the CRS all of its marketing materials, including direct mail, print ads, customer subscription package, radio and TV scripts, website address and customer service call centers.  (Update reflected in “Miscellaneous/Other Requirements” and the 2001 and 2001 Calendars).</w:t>
      </w:r>
    </w:p>
    <w:p>
      <w:pPr>
        <w:pStyle w:val="Footer"/>
        <w:numPr>
          <w:ilvl w:val="0"/>
          <w:numId w:val="14"/>
        </w:numPr>
        <w:spacing w:before="120" w:after="120"/>
        <w:rPr/>
      </w:pPr>
      <w:r>
        <w:rPr/>
        <w:t>Section 377 of the California Public Utilities Code was amended effective 2001, which now provides that no facility for the generation of electricity owned by a public utility may be disposed of prior to January 1, 2006.  (Update reflected in “Miscellaneous/Other Requirements”).</w:t>
      </w:r>
    </w:p>
    <w:p>
      <w:pPr>
        <w:pStyle w:val="Normal"/>
        <w:numPr>
          <w:ilvl w:val="0"/>
          <w:numId w:val="24"/>
        </w:numPr>
        <w:rPr/>
      </w:pPr>
      <w:r>
        <w:rPr/>
        <w:t>On February 1, 2001, California Assembly Bill No. 1 (“ABX1”)</w:t>
      </w:r>
      <w:r>
        <w:rPr>
          <w:b/>
        </w:rPr>
        <w:t xml:space="preserve"> </w:t>
      </w:r>
      <w:r>
        <w:rPr/>
        <w:t>was enacted which, among other things, added Division 27 (commencing with Section 80000) to the Water Code (</w:t>
      </w:r>
      <w:r>
        <w:rPr>
          <w:i/>
        </w:rPr>
        <w:t>See</w:t>
      </w:r>
      <w:r>
        <w:rPr/>
        <w:t xml:space="preserve"> </w:t>
      </w:r>
      <w:hyperlink r:id="rId6">
        <w:r>
          <w:rPr>
            <w:rStyle w:val="Hyperlink"/>
          </w:rPr>
          <w:t>ABX1, February 1, 2001</w:t>
        </w:r>
      </w:hyperlink>
      <w:r>
        <w:rPr/>
        <w:t xml:space="preserve">).  Pursuant to Section 80100 of the Water Code, the California Department of Water Resources (“CDWR”) may contract with any person, local publicly owned electric utility or other entity for the purchase of electric power on such terms and for such periods as the CDWR determines.  Pursuant to Section 80110 of the ABX1, at a specified time to be determined by the CPUC, the right of all retail end use customers to acquire electric service from Suppliers will be suspended until the CDWR no longer supplies power pursuant to ABX1.  As of March 31, 2001 it appears that, pursuant to other currently pending Bills in California, customers will have an option to choose a Supplier for their electricity service until </w:t>
      </w:r>
      <w:r>
        <w:rPr>
          <w:u w:val="single"/>
        </w:rPr>
        <w:t>June 1, 2001</w:t>
      </w:r>
      <w:r>
        <w:rPr/>
        <w:t xml:space="preserve">.  Thereafter, customers who have not yet chosen to receive electric service from a Supplier and customers who elect to receive default service from a UDC may not then choose to receive electric service from a Supplier until the CDWR discontinues supplying electric service pursuant to ABX1.  (Updates reflected in “Miscellaneous/Other Requirements”). </w:t>
      </w:r>
    </w:p>
    <w:p>
      <w:pPr>
        <w:pStyle w:val="Normal"/>
        <w:rPr/>
      </w:pPr>
      <w:r>
        <w:rPr/>
      </w:r>
    </w:p>
    <w:p>
      <w:pPr>
        <w:pStyle w:val="Normal"/>
        <w:widowControl w:val="false"/>
        <w:rPr>
          <w:u w:val="single"/>
        </w:rPr>
      </w:pPr>
      <w:r>
        <w:rPr>
          <w:u w:val="single"/>
        </w:rPr>
        <w:t>Illinois</w:t>
      </w:r>
    </w:p>
    <w:p>
      <w:pPr>
        <w:pStyle w:val="Normal"/>
        <w:widowControl w:val="false"/>
        <w:rPr/>
      </w:pPr>
      <w:r>
        <w:rPr/>
      </w:r>
    </w:p>
    <w:p>
      <w:pPr>
        <w:pStyle w:val="Normal"/>
        <w:numPr>
          <w:ilvl w:val="0"/>
          <w:numId w:val="9"/>
        </w:numPr>
        <w:rPr/>
      </w:pPr>
      <w:r>
        <w:rPr/>
        <w:t>The ICC adopted new annual certification requirements applicable to entities that are licensed to operate as Suppliers in Illinois (</w:t>
      </w:r>
      <w:r>
        <w:rPr>
          <w:i/>
        </w:rPr>
        <w:t>See</w:t>
      </w:r>
      <w:r>
        <w:rPr/>
        <w:t xml:space="preserve"> </w:t>
      </w:r>
      <w:hyperlink r:id="rId7">
        <w:r>
          <w:rPr>
            <w:rStyle w:val="Hyperlink"/>
          </w:rPr>
          <w:t>83 IAC 451.710 to 451.770</w:t>
        </w:r>
      </w:hyperlink>
      <w:r>
        <w:rPr/>
        <w:t xml:space="preserve">).  The effect of the new rules is that EES must </w:t>
      </w:r>
      <w:r>
        <w:rPr>
          <w:u w:val="single"/>
        </w:rPr>
        <w:t>annually</w:t>
      </w:r>
      <w:r>
        <w:rPr/>
        <w:t xml:space="preserve"> (i) certify that information provided in its original license application (EES’ original license was granted by the ICC in August, 1999) is accurate or (ii) provide updated information.  The following annual certification disclosures must be made under oath and filed with the Chief Clerk of the ICC with copies provided to the Manager of the Energy Division and the Manager of the Financial Analysis Division or their successors (</w:t>
      </w:r>
      <w:r>
        <w:rPr>
          <w:i/>
        </w:rPr>
        <w:t>See</w:t>
      </w:r>
      <w:r>
        <w:rPr/>
        <w:t xml:space="preserve"> </w:t>
      </w:r>
      <w:hyperlink r:id="rId8">
        <w:r>
          <w:rPr>
            <w:rStyle w:val="Hyperlink"/>
          </w:rPr>
          <w:t>83 IAC 451.710(b)</w:t>
        </w:r>
      </w:hyperlink>
      <w:r>
        <w:rPr/>
        <w:t xml:space="preserve">). </w:t>
      </w:r>
    </w:p>
    <w:p>
      <w:pPr>
        <w:pStyle w:val="DefaultText"/>
        <w:numPr>
          <w:ilvl w:val="0"/>
          <w:numId w:val="23"/>
        </w:numPr>
        <w:tabs>
          <w:tab w:val="clear" w:pos="720"/>
          <w:tab w:val="left" w:pos="810" w:leader="none"/>
          <w:tab w:val="left" w:pos="4320" w:leader="none"/>
          <w:tab w:val="right" w:pos="9360" w:leader="none"/>
        </w:tabs>
        <w:spacing w:before="120" w:after="120"/>
        <w:rPr/>
      </w:pPr>
      <w:r>
        <w:rPr>
          <w:u w:val="single"/>
        </w:rPr>
        <w:t>Continued Provision of Delivery Services Certification</w:t>
      </w:r>
      <w:r>
        <w:rPr/>
        <w:t xml:space="preserve">.  If the Supplier, its corporate affiliates or the Supplier’s principal source of electricity, owns or controls facilities, for public use, for the transmission or distribution of electricity to end-users within a defined geographic area to which electric power and energy can be physically and economically delivered by the electric utilities in whose service area the proposed service will be offered, then the Supplier, its corporate affiliates or principal source of electricity, as the case may be, must </w:t>
      </w:r>
      <w:r>
        <w:rPr>
          <w:u w:val="single"/>
        </w:rPr>
        <w:t>annually</w:t>
      </w:r>
      <w:r>
        <w:rPr/>
        <w:t xml:space="preserve"> certify, in </w:t>
      </w:r>
      <w:r>
        <w:rPr>
          <w:u w:val="single"/>
        </w:rPr>
        <w:t>January</w:t>
      </w:r>
      <w:r>
        <w:rPr/>
        <w:t xml:space="preserve"> of each year following certification, that it continues to provide delivery services to the electric utilities in whose service areas the service is offered.  In addition, the Supplier must provide the following information with its certification (</w:t>
      </w:r>
      <w:r>
        <w:rPr>
          <w:i/>
        </w:rPr>
        <w:t>See</w:t>
      </w:r>
      <w:r>
        <w:rPr/>
        <w:t xml:space="preserve"> </w:t>
      </w:r>
      <w:hyperlink r:id="rId9">
        <w:r>
          <w:rPr>
            <w:rStyle w:val="Hyperlink"/>
          </w:rPr>
          <w:t>83 IAC 451.730</w:t>
        </w:r>
      </w:hyperlink>
      <w:r>
        <w:rPr/>
        <w:t>):</w:t>
      </w:r>
    </w:p>
    <w:p>
      <w:pPr>
        <w:pStyle w:val="DefaultText"/>
        <w:numPr>
          <w:ilvl w:val="0"/>
          <w:numId w:val="17"/>
        </w:numPr>
        <w:tabs>
          <w:tab w:val="clear" w:pos="720"/>
          <w:tab w:val="left" w:pos="1170" w:leader="none"/>
          <w:tab w:val="left" w:pos="1440" w:leader="none"/>
          <w:tab w:val="left" w:pos="1575" w:leader="none"/>
          <w:tab w:val="left" w:pos="4320" w:leader="none"/>
          <w:tab w:val="right" w:pos="9360" w:leader="none"/>
        </w:tabs>
        <w:spacing w:before="120" w:after="120"/>
        <w:ind w:hanging="540" w:start="1260" w:end="0"/>
        <w:rPr/>
      </w:pPr>
      <w:r>
        <w:rPr/>
        <w:t>The Supplier’s name and street address;</w:t>
      </w:r>
    </w:p>
    <w:p>
      <w:pPr>
        <w:pStyle w:val="DefaultText"/>
        <w:numPr>
          <w:ilvl w:val="0"/>
          <w:numId w:val="17"/>
        </w:numPr>
        <w:tabs>
          <w:tab w:val="clear" w:pos="720"/>
          <w:tab w:val="left" w:pos="1170" w:leader="none"/>
          <w:tab w:val="left" w:pos="1440" w:leader="none"/>
          <w:tab w:val="left" w:pos="1575" w:leader="none"/>
          <w:tab w:val="left" w:pos="4320" w:leader="none"/>
          <w:tab w:val="right" w:pos="9360" w:leader="none"/>
        </w:tabs>
        <w:spacing w:before="120" w:after="120"/>
        <w:ind w:hanging="540" w:start="1260" w:end="0"/>
        <w:rPr/>
      </w:pPr>
      <w:r>
        <w:rPr/>
        <w:t>The Supplier’s Federal Employment Identification Number; and</w:t>
      </w:r>
    </w:p>
    <w:p>
      <w:pPr>
        <w:pStyle w:val="DefaultText"/>
        <w:numPr>
          <w:ilvl w:val="0"/>
          <w:numId w:val="17"/>
        </w:numPr>
        <w:tabs>
          <w:tab w:val="clear" w:pos="720"/>
          <w:tab w:val="left" w:pos="1170" w:leader="none"/>
          <w:tab w:val="left" w:pos="1440" w:leader="none"/>
          <w:tab w:val="left" w:pos="1575" w:leader="none"/>
          <w:tab w:val="left" w:pos="4320" w:leader="none"/>
          <w:tab w:val="right" w:pos="9360" w:leader="none"/>
        </w:tabs>
        <w:spacing w:before="120" w:after="120"/>
        <w:ind w:hanging="540" w:start="1260" w:end="0"/>
        <w:rPr/>
      </w:pPr>
      <w:r>
        <w:rPr/>
        <w:t>Names and addresses of all of the Supplier’s affiliated companies involved in electric retail sales or purchases in North America.</w:t>
      </w:r>
    </w:p>
    <w:p>
      <w:pPr>
        <w:pStyle w:val="DefaultText"/>
        <w:numPr>
          <w:ilvl w:val="0"/>
          <w:numId w:val="23"/>
        </w:numPr>
        <w:tabs>
          <w:tab w:val="clear" w:pos="720"/>
          <w:tab w:val="left" w:pos="810" w:leader="none"/>
        </w:tabs>
        <w:spacing w:before="120" w:after="120"/>
        <w:rPr/>
      </w:pPr>
      <w:r>
        <w:rPr>
          <w:u w:val="single"/>
        </w:rPr>
        <w:t>Financial Reporting Requirements Reports</w:t>
      </w:r>
      <w:r>
        <w:rPr/>
        <w:t>.  A Supplier must provide a copy of only those documents that the Supplier requires to demonstrate that it continues to possess sufficient financial resources to serve the retail customers for which it has received a certificate of service authority (</w:t>
      </w:r>
      <w:r>
        <w:rPr>
          <w:i/>
        </w:rPr>
        <w:t>See</w:t>
      </w:r>
      <w:r>
        <w:rPr/>
        <w:t xml:space="preserve"> </w:t>
      </w:r>
      <w:hyperlink r:id="rId10">
        <w:r>
          <w:rPr>
            <w:rStyle w:val="Hyperlink"/>
          </w:rPr>
          <w:t>83 IAC 451.740 and 83 IAC 451.110</w:t>
        </w:r>
      </w:hyperlink>
      <w:r>
        <w:rPr/>
        <w:t xml:space="preserve"> for financial qualifications for Suppliers serving only nonresidential customers with maximum electric demands of 1 MW or more).  Please note that if EES is certified to provide single billing service to customers, additional financial disclosures are required (</w:t>
      </w:r>
      <w:r>
        <w:rPr>
          <w:i/>
        </w:rPr>
        <w:t>See</w:t>
      </w:r>
      <w:r>
        <w:rPr/>
        <w:t xml:space="preserve"> </w:t>
      </w:r>
      <w:hyperlink r:id="rId11">
        <w:r>
          <w:rPr>
            <w:rStyle w:val="Hyperlink"/>
          </w:rPr>
          <w:t>83 IAC 451.510 and 451.740</w:t>
        </w:r>
      </w:hyperlink>
      <w:r>
        <w:rPr/>
        <w:t xml:space="preserve">). </w:t>
      </w:r>
    </w:p>
    <w:p>
      <w:pPr>
        <w:pStyle w:val="DefaultText"/>
        <w:numPr>
          <w:ilvl w:val="0"/>
          <w:numId w:val="23"/>
        </w:numPr>
        <w:tabs>
          <w:tab w:val="clear" w:pos="720"/>
          <w:tab w:val="left" w:pos="810" w:leader="none"/>
        </w:tabs>
        <w:spacing w:before="120" w:after="120"/>
        <w:rPr/>
      </w:pPr>
      <w:r>
        <w:rPr>
          <w:u w:val="single"/>
        </w:rPr>
        <w:t>Managerial Reporting Requirements Certification</w:t>
      </w:r>
      <w:r>
        <w:rPr/>
        <w:t xml:space="preserve">.  A Supplier must </w:t>
      </w:r>
      <w:r>
        <w:rPr>
          <w:u w:val="single"/>
        </w:rPr>
        <w:t>annually</w:t>
      </w:r>
      <w:r>
        <w:rPr/>
        <w:t xml:space="preserve"> certify during </w:t>
      </w:r>
      <w:r>
        <w:rPr>
          <w:u w:val="single"/>
        </w:rPr>
        <w:t>January</w:t>
      </w:r>
      <w:r>
        <w:rPr/>
        <w:t xml:space="preserve"> of each year that it continues to maintain the required managerial qualifications for the service authority granted in its certificate of service authority (</w:t>
      </w:r>
      <w:r>
        <w:rPr>
          <w:i/>
        </w:rPr>
        <w:t>See</w:t>
      </w:r>
      <w:r>
        <w:rPr/>
        <w:t xml:space="preserve"> </w:t>
      </w:r>
      <w:hyperlink r:id="rId12">
        <w:r>
          <w:rPr>
            <w:rStyle w:val="Hyperlink"/>
          </w:rPr>
          <w:t>83 IAC 451.750</w:t>
        </w:r>
      </w:hyperlink>
      <w:r>
        <w:rPr/>
        <w:t>) (</w:t>
      </w:r>
      <w:r>
        <w:rPr>
          <w:i/>
        </w:rPr>
        <w:t>See</w:t>
      </w:r>
      <w:r>
        <w:rPr/>
        <w:t xml:space="preserve"> </w:t>
      </w:r>
      <w:hyperlink r:id="rId13">
        <w:r>
          <w:rPr>
            <w:rStyle w:val="Hyperlink"/>
          </w:rPr>
          <w:t>83 IAC 451.130</w:t>
        </w:r>
      </w:hyperlink>
      <w:r>
        <w:rPr/>
        <w:t xml:space="preserve"> for managerial qualifications for Suppliers serving only nonresidential customers with maximum electric demands of 1 MW or more).</w:t>
      </w:r>
    </w:p>
    <w:p>
      <w:pPr>
        <w:pStyle w:val="DefaultText"/>
        <w:numPr>
          <w:ilvl w:val="0"/>
          <w:numId w:val="23"/>
        </w:numPr>
        <w:tabs>
          <w:tab w:val="clear" w:pos="720"/>
          <w:tab w:val="left" w:pos="810" w:leader="none"/>
        </w:tabs>
        <w:spacing w:before="120" w:after="120"/>
        <w:rPr/>
      </w:pPr>
      <w:r>
        <w:rPr>
          <w:u w:val="single"/>
        </w:rPr>
        <w:t>Technical Reporting Requirements Certification</w:t>
      </w:r>
      <w:r>
        <w:rPr/>
        <w:t xml:space="preserve">.  A Supplier must </w:t>
      </w:r>
      <w:r>
        <w:rPr>
          <w:u w:val="single"/>
        </w:rPr>
        <w:t>annually</w:t>
      </w:r>
      <w:r>
        <w:rPr/>
        <w:t xml:space="preserve"> certify during </w:t>
      </w:r>
      <w:r>
        <w:rPr>
          <w:u w:val="single"/>
        </w:rPr>
        <w:t>January</w:t>
      </w:r>
      <w:r>
        <w:rPr/>
        <w:t xml:space="preserve"> of each year that it continues to maintain the required technical qualifications for the service authority granted in its certificate of service authority (</w:t>
      </w:r>
      <w:r>
        <w:rPr>
          <w:i/>
        </w:rPr>
        <w:t>See</w:t>
      </w:r>
      <w:r>
        <w:rPr/>
        <w:t xml:space="preserve"> </w:t>
      </w:r>
      <w:hyperlink r:id="rId14">
        <w:r>
          <w:rPr>
            <w:rStyle w:val="Hyperlink"/>
          </w:rPr>
          <w:t>83 IAC 451.760</w:t>
        </w:r>
      </w:hyperlink>
      <w:r>
        <w:rPr/>
        <w:t>) (</w:t>
      </w:r>
      <w:r>
        <w:rPr>
          <w:i/>
        </w:rPr>
        <w:t>See</w:t>
      </w:r>
      <w:r>
        <w:rPr/>
        <w:t xml:space="preserve"> </w:t>
      </w:r>
      <w:hyperlink r:id="rId15">
        <w:r>
          <w:rPr>
            <w:rStyle w:val="Hyperlink"/>
          </w:rPr>
          <w:t>83 IAC 451.120</w:t>
        </w:r>
      </w:hyperlink>
      <w:r>
        <w:rPr/>
        <w:t xml:space="preserve"> for technical qualifications for Suppliers serving only nonresidential customers with maximum electric demands of 1 MW or more).</w:t>
      </w:r>
    </w:p>
    <w:p>
      <w:pPr>
        <w:pStyle w:val="DefaultText"/>
        <w:numPr>
          <w:ilvl w:val="0"/>
          <w:numId w:val="23"/>
        </w:numPr>
        <w:tabs>
          <w:tab w:val="clear" w:pos="720"/>
          <w:tab w:val="left" w:pos="810" w:leader="none"/>
        </w:tabs>
        <w:spacing w:before="120" w:after="120"/>
        <w:rPr/>
      </w:pPr>
      <w:r>
        <w:rPr>
          <w:u w:val="single"/>
        </w:rPr>
        <w:t>KWh Reporting Requirements Report</w:t>
      </w:r>
      <w:r>
        <w:rPr/>
        <w:t xml:space="preserve">.  By </w:t>
      </w:r>
      <w:r>
        <w:rPr>
          <w:u w:val="single"/>
        </w:rPr>
        <w:t>March 1</w:t>
      </w:r>
      <w:r>
        <w:rPr/>
        <w:t xml:space="preserve"> of each year Suppliers must file with the Chief Clerk of the ICC, and provide to the Energy Division or its successor, a report stating the total annual kWh delivered and sold to retail customers within each utility service territory in the preceding calendar year (</w:t>
      </w:r>
      <w:r>
        <w:rPr>
          <w:i/>
        </w:rPr>
        <w:t>See</w:t>
      </w:r>
      <w:r>
        <w:rPr/>
        <w:t xml:space="preserve"> </w:t>
      </w:r>
      <w:hyperlink r:id="rId16">
        <w:r>
          <w:rPr>
            <w:rStyle w:val="Hyperlink"/>
          </w:rPr>
          <w:t>83 IAC 451.770</w:t>
        </w:r>
      </w:hyperlink>
      <w:r>
        <w:rPr/>
        <w:t>).</w:t>
      </w:r>
    </w:p>
    <w:p>
      <w:pPr>
        <w:pStyle w:val="Normal"/>
        <w:widowControl w:val="false"/>
        <w:rPr/>
      </w:pPr>
      <w:r>
        <w:rPr/>
      </w:r>
    </w:p>
    <w:p>
      <w:pPr>
        <w:pStyle w:val="Normal"/>
        <w:widowControl w:val="false"/>
        <w:rPr>
          <w:u w:val="single"/>
        </w:rPr>
      </w:pPr>
      <w:r>
        <w:rPr>
          <w:u w:val="single"/>
        </w:rPr>
        <w:t>Maine</w:t>
      </w:r>
    </w:p>
    <w:p>
      <w:pPr>
        <w:pStyle w:val="Normal"/>
        <w:widowControl w:val="false"/>
        <w:rPr/>
      </w:pPr>
      <w:r>
        <w:rPr/>
      </w:r>
    </w:p>
    <w:p>
      <w:pPr>
        <w:pStyle w:val="Normal"/>
        <w:numPr>
          <w:ilvl w:val="0"/>
          <w:numId w:val="3"/>
        </w:numPr>
        <w:rPr>
          <w:rStyle w:val="DeltaViewInsertion"/>
          <w:b w:val="false"/>
          <w:u w:val="none"/>
        </w:rPr>
      </w:pPr>
      <w:r>
        <w:rPr/>
        <w:t xml:space="preserve">On January 30, 2001, the MPUC signed an order which altered the reporting requirements for the annual report filed with the MPUC </w:t>
      </w:r>
      <w:r>
        <w:rPr>
          <w:u w:val="single"/>
        </w:rPr>
        <w:t>each May 1</w:t>
      </w:r>
      <w:r>
        <w:rPr/>
        <w:t xml:space="preserve"> by Suppliers.  The order added “Medium Non-Residential Customers” as a customer classification for reporting by Suppliers of (i) average sale price information, (ii) total revenue from retail electric sales, and (iii) total number of kWh sold (each also to be categorized by utility service territory).  The term “Medium Non-Residential Customer” is defined under the Maine Rules as “a </w:t>
      </w:r>
      <w:r>
        <w:rPr>
          <w:rStyle w:val="DeltaViewInsertion"/>
          <w:b w:val="false"/>
          <w:u w:val="none"/>
        </w:rPr>
        <w:t xml:space="preserve">non-residential customer that does not meet the criteria for Small Non-Residential Customer and that meets the availability criteria to take service under a core customer class of the transmission and distribution utility that includes a demand charge and in which a customer’s maximum demand shall not exceed 500 kW, or the kW breakpoint that is closest to but does not exceed 500 kW.”  </w:t>
      </w:r>
      <w:r>
        <w:rPr>
          <w:rStyle w:val="DeltaViewInsertion"/>
          <w:b w:val="false"/>
          <w:i/>
          <w:u w:val="none"/>
        </w:rPr>
        <w:t>See</w:t>
      </w:r>
      <w:r>
        <w:rPr>
          <w:rStyle w:val="DeltaViewInsertion"/>
          <w:b w:val="false"/>
          <w:u w:val="none"/>
        </w:rPr>
        <w:t xml:space="preserve"> </w:t>
      </w:r>
      <w:hyperlink r:id="rId17">
        <w:r>
          <w:rPr>
            <w:rStyle w:val="Hyperlink"/>
            <w:color w:val="auto"/>
            <w:u w:val="none"/>
          </w:rPr>
          <w:t>WCMR 65-407</w:t>
        </w:r>
      </w:hyperlink>
      <w:r>
        <w:rPr/>
        <w:t>-</w:t>
      </w:r>
      <w:r>
        <w:rPr>
          <w:rStyle w:val="DeltaViewInsertion"/>
          <w:b w:val="false"/>
          <w:color w:val="auto"/>
          <w:u w:val="none"/>
        </w:rPr>
        <w:t>301(2)(A)(2)(ii)</w:t>
      </w:r>
      <w:r>
        <w:rPr>
          <w:rStyle w:val="DeltaViewInsertion"/>
          <w:b w:val="false"/>
          <w:u w:val="none"/>
        </w:rPr>
        <w:t xml:space="preserve">  While Suppliers were previously required to report total revenues </w:t>
      </w:r>
      <w:r>
        <w:rPr>
          <w:color w:val="000000"/>
        </w:rPr>
        <w:t>of sales to</w:t>
      </w:r>
      <w:r>
        <w:rPr>
          <w:rStyle w:val="DeltaViewDeletion"/>
          <w:strike w:val="false"/>
          <w:dstrike w:val="false"/>
        </w:rPr>
        <w:t xml:space="preserve"> “customers with a demand of 100 kW or less”, Suppliers must now report total revenues </w:t>
      </w:r>
      <w:r>
        <w:rPr>
          <w:rStyle w:val="DeltaViewDeletion"/>
          <w:strike w:val="false"/>
          <w:dstrike w:val="false"/>
          <w:u w:val="single"/>
        </w:rPr>
        <w:t>and</w:t>
      </w:r>
      <w:r>
        <w:rPr>
          <w:rStyle w:val="DeltaViewDeletion"/>
          <w:strike w:val="false"/>
          <w:dstrike w:val="false"/>
        </w:rPr>
        <w:t xml:space="preserve"> total number of kWh sold to the MPUC, categorized by utility service territory and by customer classification as follows: (i) residentials; (ii) Small Non-Residential Customers; (iii) Medium Non-Residential Customers; and (iv) Large Non-Residential Customers.  All other requirements for the annual report remain unchanged.  </w:t>
      </w:r>
      <w:r>
        <w:rPr>
          <w:i/>
        </w:rPr>
        <w:t>See</w:t>
      </w:r>
      <w:hyperlink r:id="rId18">
        <w:r>
          <w:rPr>
            <w:rStyle w:val="Hyperlink"/>
          </w:rPr>
          <w:t xml:space="preserve"> Order Regarding Competitive Electricity Provider Annual Reports, Docket No. 2001-20, January 30, 2001</w:t>
        </w:r>
      </w:hyperlink>
      <w:r>
        <w:rPr>
          <w:rStyle w:val="DeltaViewInsertion"/>
          <w:b w:val="false"/>
          <w:u w:val="none"/>
        </w:rPr>
        <w:t xml:space="preserve"> (Update reflected in “Items Required for Delivery to Commission(s)”)</w:t>
      </w:r>
    </w:p>
    <w:p>
      <w:pPr>
        <w:pStyle w:val="Normal"/>
        <w:widowControl w:val="false"/>
        <w:rPr>
          <w:rStyle w:val="DeltaViewInsertion"/>
          <w:b w:val="false"/>
          <w:u w:val="none"/>
        </w:rPr>
      </w:pPr>
      <w:r>
        <w:rPr/>
      </w:r>
    </w:p>
    <w:p>
      <w:pPr>
        <w:pStyle w:val="Normal"/>
        <w:numPr>
          <w:ilvl w:val="0"/>
          <w:numId w:val="11"/>
        </w:numPr>
        <w:spacing w:before="120" w:after="120"/>
        <w:rPr/>
      </w:pPr>
      <w:r>
        <w:rPr/>
        <w:t xml:space="preserve">On January 24, 2001, the MPUC approved an order to revise Rule 301, the rule governing standard offer in Maine, to increase the opt-out fee for termination of standard offer service </w:t>
      </w:r>
      <w:r>
        <w:rPr>
          <w:u w:val="single"/>
        </w:rPr>
        <w:t>on or after March 1, 2001</w:t>
      </w:r>
      <w:r>
        <w:rPr/>
        <w:t xml:space="preserve"> from an amount equal to the customer’s or set of customers’ average monthly bill for the most recent period that the customer has taken standard offer service to an amount equal to two times the customer’s or set of customers’ highest bill during the most recent period that the customer has taken standard offer service.  Opt-out fees may be waived on a case-by-case determination by the MPUC.  In the event customers enter during one standard offer provider’s term and exit during another’s, the opt-out fee will be apportioned based on the number of months served by each provider.  The revised rule also provides a clarification that, if a charge is imposed, customers above 50kW are responsible for paying the charge while the Supplier or aggregator must pay the charge for smaller, aggregated customers when the Supplier or aggregator </w:t>
      </w:r>
      <w:r>
        <w:rPr>
          <w:u w:val="single"/>
        </w:rPr>
        <w:t>induces</w:t>
      </w:r>
      <w:r>
        <w:rPr/>
        <w:t xml:space="preserve"> the customer(s) to return to standard offer service and then to move back to competitive service within 12 months. (There is no clarification in the rule as to what constitutes an “inducement” to return to standard offer)  (</w:t>
      </w:r>
      <w:r>
        <w:rPr>
          <w:i/>
        </w:rPr>
        <w:t>See</w:t>
      </w:r>
      <w:r>
        <w:rPr/>
        <w:t xml:space="preserve"> </w:t>
      </w:r>
      <w:hyperlink r:id="rId19">
        <w:r>
          <w:rPr>
            <w:rStyle w:val="Hyperlink"/>
          </w:rPr>
          <w:t>MPUC Docket No. 2000-904, Order Adopting Rule and Statement of Factual and Policy Basis, January 24, 2001</w:t>
        </w:r>
      </w:hyperlink>
      <w:r>
        <w:rPr/>
        <w:t>)  On December 22, 2000, citing volatility in the natural gas and wholesale electricity markets, the MPUC terminated its RFB process without accepting any of the bid proposals to begin service for medium and large standard offer classes within Central Maine Power Company’s (“</w:t>
      </w:r>
      <w:r>
        <w:rPr>
          <w:u w:val="single"/>
        </w:rPr>
        <w:t>CMP</w:t>
      </w:r>
      <w:r>
        <w:rPr/>
        <w:t xml:space="preserve">”) territory on March 1, 2001.  On February 13, 2001, the MPUC directed CMP to enter into 2 wholesale power contracts to provide standard offer service to customers in medium and large standard offer classes for the period March, 2001 through February, 2002.  For further details, </w:t>
      </w:r>
      <w:r>
        <w:rPr>
          <w:i/>
        </w:rPr>
        <w:t>see</w:t>
      </w:r>
      <w:r>
        <w:rPr/>
        <w:t xml:space="preserve"> </w:t>
      </w:r>
      <w:hyperlink r:id="rId20">
        <w:r>
          <w:rPr>
            <w:rStyle w:val="Hyperlink"/>
          </w:rPr>
          <w:t>MPUC Docket No. 2000-904, Order Adopting Rule and Statement of Factual and Policy Basis, January 24, 2001</w:t>
        </w:r>
      </w:hyperlink>
      <w:r>
        <w:rPr/>
        <w:t>. (Update reflected in “Miscellaneous/Other Requirements”)</w:t>
      </w:r>
    </w:p>
    <w:p>
      <w:pPr>
        <w:pStyle w:val="Normal"/>
        <w:widowControl w:val="false"/>
        <w:rPr/>
      </w:pPr>
      <w:r>
        <w:rPr/>
      </w:r>
    </w:p>
    <w:p>
      <w:pPr>
        <w:pStyle w:val="Normal"/>
        <w:widowControl w:val="false"/>
        <w:rPr>
          <w:u w:val="single"/>
        </w:rPr>
      </w:pPr>
      <w:r>
        <w:rPr>
          <w:u w:val="single"/>
        </w:rPr>
        <w:t>Nevada</w:t>
      </w:r>
    </w:p>
    <w:p>
      <w:pPr>
        <w:pStyle w:val="Normal"/>
        <w:widowControl w:val="false"/>
        <w:rPr/>
      </w:pPr>
      <w:r>
        <w:rPr/>
      </w:r>
    </w:p>
    <w:p>
      <w:pPr>
        <w:pStyle w:val="Normal"/>
        <w:keepNext w:val="true"/>
        <w:numPr>
          <w:ilvl w:val="0"/>
          <w:numId w:val="10"/>
        </w:numPr>
        <w:rPr/>
      </w:pPr>
      <w:r>
        <w:rPr/>
        <w:t>On February 22, 2001, Nevada Governor Kenny Guinn unveiled the Nevada Energy Protection Plan (the “Plan”) (</w:t>
      </w:r>
      <w:hyperlink r:id="rId21">
        <w:r>
          <w:rPr>
            <w:rStyle w:val="Hyperlink"/>
          </w:rPr>
          <w:t>See February 22, 2000 Press Release from the Office of Governor Kenny Guinn</w:t>
        </w:r>
      </w:hyperlink>
      <w:r>
        <w:rPr/>
        <w:t>).  Pursuant to the Plan, electricity deregulation has been halted indefinitely.  Electricity deregulation will not proceed in Nevada until “the market stabilizes, adequate consumer protections are in place and electricity supply is at an acceptable level.”  (</w:t>
      </w:r>
      <w:r>
        <w:rPr>
          <w:i/>
        </w:rPr>
        <w:t>See</w:t>
      </w:r>
      <w:r>
        <w:rPr/>
        <w:t xml:space="preserve">   (Update reflected in “Electric Competition Start Date”).</w:t>
      </w:r>
    </w:p>
    <w:p>
      <w:pPr>
        <w:pStyle w:val="Normal"/>
        <w:keepNext w:val="true"/>
        <w:rPr/>
      </w:pPr>
      <w:r>
        <w:rPr/>
      </w:r>
    </w:p>
    <w:p>
      <w:pPr>
        <w:pStyle w:val="Normal"/>
        <w:rPr>
          <w:u w:val="single"/>
        </w:rPr>
      </w:pPr>
      <w:r>
        <w:rPr>
          <w:u w:val="single"/>
        </w:rPr>
        <w:t>New Jersey</w:t>
      </w:r>
    </w:p>
    <w:p>
      <w:pPr>
        <w:pStyle w:val="Normal"/>
        <w:rPr/>
      </w:pPr>
      <w:r>
        <w:rPr/>
      </w:r>
    </w:p>
    <w:p>
      <w:pPr>
        <w:pStyle w:val="Normal"/>
        <w:numPr>
          <w:ilvl w:val="0"/>
          <w:numId w:val="25"/>
        </w:numPr>
        <w:rPr/>
      </w:pPr>
      <w:r>
        <w:rPr/>
        <w:t>According to Henry Ogden of the NJBPU, the interim licensing and registration, consumer protection, anti-slamming and environmental disclosure standards will likely be amended or replaced in April 2001.  In addition, the proposed net metering and renewable portfolio standards are likely to be adopted in April 2001.</w:t>
      </w:r>
    </w:p>
    <w:p>
      <w:pPr>
        <w:pStyle w:val="Normal"/>
        <w:rPr/>
      </w:pPr>
      <w:r>
        <w:rPr/>
      </w:r>
    </w:p>
    <w:p>
      <w:pPr>
        <w:pStyle w:val="Normal"/>
        <w:rPr>
          <w:u w:val="single"/>
        </w:rPr>
      </w:pPr>
      <w:r>
        <w:rPr>
          <w:u w:val="single"/>
        </w:rPr>
        <w:t>New Mexico</w:t>
      </w:r>
    </w:p>
    <w:p>
      <w:pPr>
        <w:pStyle w:val="Normal"/>
        <w:rPr>
          <w:u w:val="single"/>
        </w:rPr>
      </w:pPr>
      <w:r>
        <w:rPr>
          <w:u w:val="single"/>
        </w:rPr>
      </w:r>
    </w:p>
    <w:p>
      <w:pPr>
        <w:pStyle w:val="Normal"/>
        <w:numPr>
          <w:ilvl w:val="0"/>
          <w:numId w:val="19"/>
        </w:numPr>
        <w:rPr/>
      </w:pPr>
      <w:r>
        <w:rPr/>
        <w:t>On March 8, 2001, the governor of New Mexico signed Senate Bill 266, “</w:t>
      </w:r>
      <w:hyperlink r:id="rId22">
        <w:r>
          <w:rPr>
            <w:rStyle w:val="Hyperlink"/>
          </w:rPr>
          <w:t>An Act Relating to Electric Utilities; Delaying Customer Choice Provisions and Implementation of the Electric Utility Industry Restructuring Act of 1999</w:t>
        </w:r>
      </w:hyperlink>
      <w:r>
        <w:rPr/>
        <w:t xml:space="preserve">,” NM Law 2001, enacted on March 8.  Pursuant to this legislation, New Mexico has delayed the onset of electric choice for five years such that electric choice will begin on </w:t>
      </w:r>
      <w:r>
        <w:rPr>
          <w:u w:val="single"/>
        </w:rPr>
        <w:t>January 1, 2007</w:t>
      </w:r>
      <w:r>
        <w:rPr/>
        <w:t xml:space="preserve"> for certain customer entities and </w:t>
      </w:r>
      <w:r>
        <w:rPr>
          <w:u w:val="single"/>
        </w:rPr>
        <w:t>July 1, 2007</w:t>
      </w:r>
      <w:r>
        <w:rPr/>
        <w:t xml:space="preserve"> for </w:t>
      </w:r>
      <w:r>
        <w:rPr>
          <w:u w:val="single"/>
        </w:rPr>
        <w:t>all</w:t>
      </w:r>
      <w:r>
        <w:rPr/>
        <w:t xml:space="preserve"> customers.  In light of this legislation, no final rules or changes to the other provisions governing restructuring have been advanced.  (Update reflected in “Electric Competition Start Date”).</w:t>
      </w:r>
    </w:p>
    <w:p>
      <w:pPr>
        <w:pStyle w:val="Normal"/>
        <w:rPr/>
      </w:pPr>
      <w:r>
        <w:rPr/>
      </w:r>
    </w:p>
    <w:p>
      <w:pPr>
        <w:pStyle w:val="Normal"/>
        <w:rPr>
          <w:u w:val="single"/>
        </w:rPr>
      </w:pPr>
      <w:r>
        <w:rPr>
          <w:u w:val="single"/>
        </w:rPr>
        <w:t>New York</w:t>
      </w:r>
    </w:p>
    <w:p>
      <w:pPr>
        <w:pStyle w:val="Normal"/>
        <w:rPr>
          <w:u w:val="single"/>
        </w:rPr>
      </w:pPr>
      <w:r>
        <w:rPr>
          <w:u w:val="single"/>
        </w:rPr>
      </w:r>
    </w:p>
    <w:p>
      <w:pPr>
        <w:pStyle w:val="Normal"/>
        <w:numPr>
          <w:ilvl w:val="0"/>
          <w:numId w:val="2"/>
        </w:numPr>
        <w:rPr/>
      </w:pPr>
      <w:r>
        <w:rPr/>
        <w:t>By letter dated January 12, 2001, the NYDPS expects to issue the first environmental disclosure information to Suppliers by the end of April 2001 and expects Suppliers to begin providing the information to customers in the next practicable billing cycle thereafter.  Based on an initial consumer survey, the NYDPS believes this information should be provided at least once every six months.  (Update reflected in “2001 Calendar,” “Executive Summary” and “Items Required for Delivery to Customer”).</w:t>
      </w:r>
    </w:p>
    <w:p>
      <w:pPr>
        <w:pStyle w:val="Normal"/>
        <w:rPr/>
      </w:pPr>
      <w:r>
        <w:rPr/>
      </w:r>
    </w:p>
    <w:p>
      <w:pPr>
        <w:pStyle w:val="Normal"/>
        <w:numPr>
          <w:ilvl w:val="0"/>
          <w:numId w:val="15"/>
        </w:numPr>
        <w:rPr/>
      </w:pPr>
      <w:r>
        <w:rPr/>
        <w:t>Utility tariff filings opening metering for large commercial customers were rejected by the NYDPS with directions to file revised tariffs.</w:t>
      </w:r>
      <w:r>
        <w:rPr>
          <w:b/>
        </w:rPr>
        <w:t xml:space="preserve"> </w:t>
      </w:r>
      <w:r>
        <w:rPr/>
        <w:t xml:space="preserve"> Additionally, utility tariff filings providing for billing options for retail customers were suspended by the NYDPS until at least May 31, 2001. (Update reflected in “Miscellaneous/Other Requirements”).</w:t>
      </w:r>
    </w:p>
    <w:p>
      <w:pPr>
        <w:pStyle w:val="Normal"/>
        <w:rPr/>
      </w:pPr>
      <w:r>
        <w:rPr/>
      </w:r>
    </w:p>
    <w:p>
      <w:pPr>
        <w:pStyle w:val="Normal"/>
        <w:rPr>
          <w:u w:val="single"/>
        </w:rPr>
      </w:pPr>
      <w:r>
        <w:rPr>
          <w:u w:val="single"/>
        </w:rPr>
        <w:t>Ohio</w:t>
      </w:r>
    </w:p>
    <w:p>
      <w:pPr>
        <w:pStyle w:val="Normal"/>
        <w:rPr>
          <w:u w:val="single"/>
        </w:rPr>
      </w:pPr>
      <w:r>
        <w:rPr>
          <w:u w:val="single"/>
        </w:rPr>
      </w:r>
    </w:p>
    <w:p>
      <w:pPr>
        <w:pStyle w:val="DefaultText"/>
        <w:numPr>
          <w:ilvl w:val="0"/>
          <w:numId w:val="4"/>
        </w:numPr>
        <w:rPr/>
      </w:pPr>
      <w:r>
        <w:rPr/>
        <w:t>The PUCO extended the seven day right of rescission (only currently applicable to residentials and Small Commercial Customers) to large commercial and industrial customers participating in CG&amp;E’s current “choice” program provided that those customers have entered into a contract with a Supplier predicated upon receiving a higher shopping credit and yet only receive a lower shopping credit due to the time lag inherent in the enrollment process. CG&amp;E’s current “choice” program is structured to provide two-tiered levels of shopping credits for customers who switch to receive generation service from a Supplier.  The customer receives a higher shopping credit if it is in the first 20% of switching customers in each class. (</w:t>
      </w:r>
      <w:r>
        <w:rPr>
          <w:i/>
        </w:rPr>
        <w:t>See</w:t>
      </w:r>
      <w:r>
        <w:rPr/>
        <w:t xml:space="preserve"> </w:t>
      </w:r>
      <w:hyperlink r:id="rId23">
        <w:r>
          <w:rPr>
            <w:rStyle w:val="Hyperlink"/>
          </w:rPr>
          <w:t>In the Matter of the Application of the Cinncinnati Gas &amp; Electric Company for Approval of its Retail Electric Tariff for Certified Supplier Tariff</w:t>
        </w:r>
      </w:hyperlink>
      <w:r>
        <w:rPr/>
        <w:t>, Case No. 00-2412-EL-ATA, March 22, 2001)  (Update reflected in “Customer Rescission Rights”)</w:t>
      </w:r>
    </w:p>
    <w:p>
      <w:pPr>
        <w:pStyle w:val="DefaultText"/>
        <w:rPr/>
      </w:pPr>
      <w:r>
        <w:rPr/>
      </w:r>
    </w:p>
    <w:p>
      <w:pPr>
        <w:pStyle w:val="Normal"/>
        <w:rPr>
          <w:u w:val="single"/>
        </w:rPr>
      </w:pPr>
      <w:r>
        <w:rPr>
          <w:u w:val="single"/>
        </w:rPr>
        <w:t>Oregon</w:t>
      </w:r>
    </w:p>
    <w:p>
      <w:pPr>
        <w:pStyle w:val="Normal"/>
        <w:rPr>
          <w:u w:val="single"/>
        </w:rPr>
      </w:pPr>
      <w:r>
        <w:rPr>
          <w:u w:val="single"/>
        </w:rPr>
      </w:r>
    </w:p>
    <w:p>
      <w:pPr>
        <w:pStyle w:val="Normal"/>
        <w:numPr>
          <w:ilvl w:val="0"/>
          <w:numId w:val="21"/>
        </w:numPr>
        <w:rPr/>
      </w:pPr>
      <w:r>
        <w:rPr/>
        <w:t>In a November 7, 2000 meeting, the OPUC opened a rulemaking to consider changing the definition of Large Nonresidential Consumer. (</w:t>
      </w:r>
      <w:r>
        <w:rPr>
          <w:i/>
        </w:rPr>
        <w:t>See</w:t>
      </w:r>
      <w:r>
        <w:rPr/>
        <w:t xml:space="preserve"> </w:t>
      </w:r>
      <w:hyperlink r:id="rId24">
        <w:r>
          <w:rPr>
            <w:rStyle w:val="Hyperlink"/>
          </w:rPr>
          <w:t>Public Meeting Notice, AR 394: Rulemaking to Reconsider Definition of Large Residential Consumer, dated November 1, 2000</w:t>
        </w:r>
      </w:hyperlink>
      <w:r>
        <w:rPr/>
        <w:t xml:space="preserve"> and </w:t>
      </w:r>
      <w:r>
        <w:fldChar w:fldCharType="begin"/>
      </w:r>
      <w:r>
        <w:rPr>
          <w:rStyle w:val="Hyperlink"/>
        </w:rPr>
        <w:instrText xml:space="preserve"> HYPERLINK "../../../../../llgm/enron/llgm.nsf/Document/F9DAAAAEC693696E8725697D0080388F%3FOpenDocument" \l "D9"</w:instrText>
      </w:r>
      <w:r>
        <w:rPr>
          <w:rStyle w:val="Hyperlink"/>
        </w:rPr>
        <w:fldChar w:fldCharType="separate"/>
      </w:r>
      <w:r>
        <w:rPr>
          <w:rStyle w:val="Hyperlink"/>
        </w:rPr>
        <w:t>Certain Local Definitions (9)</w:t>
      </w:r>
      <w:r>
        <w:rPr>
          <w:rStyle w:val="Hyperlink"/>
        </w:rPr>
        <w:fldChar w:fldCharType="end"/>
      </w:r>
      <w:r>
        <w:rPr/>
        <w:t>). As currently drafted, the rule defines Large Nonresidential Consumer as “a nonresidential consumer whose kW demand at any point of delivery is greater than 30 kW during any two months within a prior 13-month period” (</w:t>
      </w:r>
      <w:r>
        <w:rPr>
          <w:i/>
        </w:rPr>
        <w:t>See</w:t>
      </w:r>
      <w:r>
        <w:rPr/>
        <w:t xml:space="preserve"> </w:t>
      </w:r>
      <w:hyperlink r:id="rId25">
        <w:r>
          <w:rPr>
            <w:rStyle w:val="Hyperlink"/>
          </w:rPr>
          <w:t>OAR 860-038-0005(23)</w:t>
        </w:r>
      </w:hyperlink>
      <w:r>
        <w:rPr/>
        <w:t>). On January 29, 2001, the OPUC staff proposed a new definition of  Large Nonresidential Consumer as “a nonresidential consumer whose kW demand at any point of delivery exceeded 100 kW during any two months within a prior 13-month period” (</w:t>
      </w:r>
      <w:r>
        <w:rPr>
          <w:i/>
        </w:rPr>
        <w:t xml:space="preserve">See </w:t>
      </w:r>
      <w:r>
        <w:rPr>
          <w:color w:val="0000FF"/>
          <w:u w:val="single"/>
        </w:rPr>
        <w:t xml:space="preserve">Proposed Rule </w:t>
      </w:r>
      <w:r>
        <w:rPr>
          <w:rStyle w:val="Hyperlink"/>
        </w:rPr>
        <w:t>OAR-038-0005(23)</w:t>
      </w:r>
      <w:r>
        <w:rPr>
          <w:rStyle w:val="Hyperlink"/>
          <w:color w:val="auto"/>
          <w:u w:val="none"/>
        </w:rPr>
        <w:t xml:space="preserve">). According to the figures provided by PGE and PacifiCorp, this change would shift 18,410 customers from the large to small nonresidential classification, leaving 7,470 customers in the large category.  </w:t>
      </w:r>
      <w:r>
        <w:rPr/>
        <w:t>The OPUC targeted early July 2001 as the time period to render a final decision on the definition of a Large Nonresidential Consumer. (</w:t>
      </w:r>
      <w:r>
        <w:rPr>
          <w:i/>
        </w:rPr>
        <w:t xml:space="preserve">See </w:t>
      </w:r>
      <w:hyperlink r:id="rId26">
        <w:r>
          <w:rPr>
            <w:rStyle w:val="Hyperlink"/>
          </w:rPr>
          <w:t>Docket No. AR 394, Order No. 01-203, In the Matter of a Temporary Rulemaking to Amend OAR 860-038-0080(5)(a)</w:t>
        </w:r>
      </w:hyperlink>
      <w:r>
        <w:rPr/>
        <w:t>). (Update reflected in “Certain Local Definitions”)</w:t>
      </w:r>
    </w:p>
    <w:p>
      <w:pPr>
        <w:pStyle w:val="Normal"/>
        <w:rPr/>
      </w:pPr>
      <w:r>
        <w:rPr/>
      </w:r>
    </w:p>
    <w:p>
      <w:pPr>
        <w:pStyle w:val="Normal"/>
        <w:numPr>
          <w:ilvl w:val="0"/>
          <w:numId w:val="5"/>
        </w:numPr>
        <w:rPr/>
      </w:pPr>
      <w:r>
        <w:rPr/>
        <w:t xml:space="preserve">Included dates for </w:t>
      </w:r>
      <w:r>
        <w:rPr>
          <w:u w:val="single"/>
        </w:rPr>
        <w:t>annual</w:t>
      </w:r>
      <w:r>
        <w:rPr/>
        <w:t xml:space="preserve"> renewal of licenses under state calendars. </w:t>
      </w:r>
    </w:p>
    <w:p>
      <w:pPr>
        <w:pStyle w:val="Normal"/>
        <w:rPr/>
      </w:pPr>
      <w:r>
        <w:rPr/>
      </w:r>
    </w:p>
    <w:p>
      <w:pPr>
        <w:pStyle w:val="Normal"/>
        <w:numPr>
          <w:ilvl w:val="0"/>
          <w:numId w:val="21"/>
        </w:numPr>
        <w:rPr/>
      </w:pPr>
      <w:r>
        <w:rPr/>
        <w:t>On March 20, 2001, the OPUC approved new energy portfolio options that will be available to residential and Small Nonresidential Customers in the service territories of Portland General Electric (“</w:t>
      </w:r>
      <w:r>
        <w:rPr>
          <w:u w:val="single"/>
        </w:rPr>
        <w:t>PGE</w:t>
      </w:r>
      <w:r>
        <w:rPr/>
        <w:t>”) and PacifiCorp in the fall of 2001.  In addition to cost-of-service rate currently received, customers will be able to choose a “time-of-use rate,” a “renewable resources block product,” a “renewable resources blended product,” and “environment mitigation option.”  Each utility will submit to the OPUC for approval portfolio rate tariffs by June 1, 2001.  The OPUC will act on the rates August 1, 2001 and the utilities will send enrollment materials to customers in mid-August 2001.  (Note: These new energy portfolio services can only be offered by the utility, and not by Suppliers) (</w:t>
      </w:r>
      <w:r>
        <w:rPr>
          <w:i/>
        </w:rPr>
        <w:t>See</w:t>
      </w:r>
      <w:r>
        <w:rPr/>
        <w:t xml:space="preserve"> </w:t>
      </w:r>
      <w:hyperlink r:id="rId27">
        <w:r>
          <w:rPr>
            <w:rStyle w:val="Hyperlink"/>
          </w:rPr>
          <w:t>O.A.R. § 860-038-0220</w:t>
        </w:r>
      </w:hyperlink>
      <w:r>
        <w:rPr/>
        <w:t xml:space="preserve"> and </w:t>
      </w:r>
      <w:hyperlink r:id="rId28">
        <w:r>
          <w:rPr>
            <w:rStyle w:val="Hyperlink"/>
          </w:rPr>
          <w:t>the March 20, 2001, Public Meeting Memo (Committee Final Recommendations)</w:t>
        </w:r>
      </w:hyperlink>
      <w:r>
        <w:rPr/>
        <w:t>. (Update reflected in “Miscellaneous/Other Requirements”)</w:t>
      </w:r>
    </w:p>
    <w:p>
      <w:pPr>
        <w:pStyle w:val="Normal"/>
        <w:rPr/>
      </w:pPr>
      <w:r>
        <w:rPr/>
      </w:r>
    </w:p>
    <w:p>
      <w:pPr>
        <w:pStyle w:val="Normal"/>
        <w:rPr>
          <w:u w:val="single"/>
        </w:rPr>
      </w:pPr>
      <w:r>
        <w:rPr>
          <w:u w:val="single"/>
        </w:rPr>
        <w:t>Texas</w:t>
      </w:r>
    </w:p>
    <w:p>
      <w:pPr>
        <w:pStyle w:val="Normal"/>
        <w:rPr>
          <w:u w:val="single"/>
        </w:rPr>
      </w:pPr>
      <w:r>
        <w:rPr>
          <w:u w:val="single"/>
        </w:rPr>
      </w:r>
    </w:p>
    <w:p>
      <w:pPr>
        <w:pStyle w:val="Normal"/>
        <w:numPr>
          <w:ilvl w:val="0"/>
          <w:numId w:val="18"/>
        </w:numPr>
        <w:rPr/>
      </w:pPr>
      <w:r>
        <w:rPr/>
        <w:t xml:space="preserve">On January 17, 2001, the PUCT proposed new </w:t>
      </w:r>
      <w:hyperlink r:id="rId29">
        <w:r>
          <w:rPr>
            <w:rStyle w:val="Hyperlink"/>
          </w:rPr>
          <w:t>Substantive Rule § 25.476</w:t>
        </w:r>
      </w:hyperlink>
      <w:r>
        <w:rPr/>
        <w:t xml:space="preserve"> which governs “green” and “renewable” energy marketing claims, reporting requirements on fuel mix and environmental impact and penalties for non-compliance.  The PUCT has provided an explanation of the expected effects along with a sample Electricity Facts Label (</w:t>
      </w:r>
      <w:r>
        <w:rPr>
          <w:i/>
        </w:rPr>
        <w:t>See</w:t>
      </w:r>
      <w:r>
        <w:rPr/>
        <w:t xml:space="preserve"> </w:t>
      </w:r>
      <w:hyperlink r:id="rId30">
        <w:r>
          <w:rPr>
            <w:rStyle w:val="Hyperlink"/>
          </w:rPr>
          <w:t>PUCT website</w:t>
        </w:r>
      </w:hyperlink>
      <w:r>
        <w:rPr/>
        <w:t>).  (Update reflected in “Items Required for Delivery to Customer”).</w:t>
      </w:r>
    </w:p>
    <w:p>
      <w:pPr>
        <w:pStyle w:val="Normal"/>
        <w:rPr/>
      </w:pPr>
      <w:r>
        <w:rPr/>
      </w:r>
    </w:p>
    <w:p>
      <w:pPr>
        <w:pStyle w:val="Normal"/>
        <w:rPr/>
      </w:pPr>
      <w:r>
        <w:rPr/>
      </w:r>
    </w:p>
    <w:sectPr>
      <w:footerReference w:type="default" r:id="rId31"/>
      <w:footerReference w:type="first" r:id="rId32"/>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46460.5 02618 00746</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46460.5 02618 00746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lowerRoman"/>
      <w:lvlText w:val="(%1)"/>
      <w:lvlJc w:val="start"/>
      <w:pPr>
        <w:tabs>
          <w:tab w:val="num" w:pos="1080"/>
        </w:tabs>
        <w:ind w:start="792" w:hanging="432"/>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lowerLetter"/>
      <w:lvlText w:val="%1)"/>
      <w:lvlJc w:val="start"/>
      <w:pPr>
        <w:tabs>
          <w:tab w:val="num" w:pos="360"/>
        </w:tabs>
        <w:ind w:start="360" w:hanging="360"/>
      </w:p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lowerRoman"/>
      <w:lvlText w:val="(%1)"/>
      <w:lvlJc w:val="start"/>
      <w:pPr>
        <w:tabs>
          <w:tab w:val="num" w:pos="1080"/>
        </w:tabs>
        <w:ind w:start="792" w:hanging="432"/>
      </w:p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decimal"/>
      <w:lvlText w:val="%1)"/>
      <w:lvlJc w:val="start"/>
      <w:pPr>
        <w:tabs>
          <w:tab w:val="num" w:pos="792"/>
        </w:tabs>
        <w:ind w:start="792" w:hanging="432"/>
      </w:p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990" w:leader="none"/>
      </w:tabs>
      <w:spacing w:before="120" w:after="120"/>
      <w:outlineLvl w:val="0"/>
    </w:pPr>
    <w:rPr>
      <w:b/>
    </w:rPr>
  </w:style>
  <w:style w:type="paragraph" w:styleId="Heading2">
    <w:name w:val="heading 2"/>
    <w:basedOn w:val="Normal"/>
    <w:next w:val="Normal"/>
    <w:qFormat/>
    <w:pPr>
      <w:keepNext w:val="true"/>
      <w:numPr>
        <w:ilvl w:val="1"/>
        <w:numId w:val="1"/>
      </w:numPr>
      <w:tabs>
        <w:tab w:val="clear" w:pos="720"/>
        <w:tab w:val="left" w:pos="990" w:leader="none"/>
      </w:tabs>
      <w:jc w:val="center"/>
      <w:outlineLvl w:val="1"/>
    </w:pPr>
    <w:rPr>
      <w:b/>
    </w:rPr>
  </w:style>
  <w:style w:type="character" w:styleId="WW8Num3z0">
    <w:name w:val="WW8Num3z0"/>
    <w:qFormat/>
    <w:rPr>
      <w:rFonts w:ascii="Symbol" w:hAnsi="Symbol" w:cs="Symbol"/>
    </w:rPr>
  </w:style>
  <w:style w:type="character" w:styleId="WW8Num5z0">
    <w:name w:val="WW8Num5z0"/>
    <w:qFormat/>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sz w:val="20"/>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00"/>
      <w:spacing w:val="0"/>
      <w:u w:val="double"/>
    </w:rPr>
  </w:style>
  <w:style w:type="character" w:styleId="DeltaViewDeletion">
    <w:name w:val="DeltaView Deletion"/>
    <w:qFormat/>
    <w:rPr>
      <w:strike/>
      <w:color w:val="000000"/>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jc w:val="center"/>
    </w:pPr>
    <w:rPr>
      <w:rFonts w:ascii="Univers" w:hAnsi="Univers" w:cs="Univers"/>
      <w:smallCaps/>
      <w:spacing w:val="30"/>
      <w:sz w:val="32"/>
    </w:rPr>
  </w:style>
  <w:style w:type="paragraph" w:styleId="BodyText">
    <w:name w:val="Body Text"/>
    <w:basedOn w:val="Normal"/>
    <w:pPr>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name">
    <w:name w:val="name"/>
    <w:basedOn w:val="Normal"/>
    <w:qFormat/>
    <w:pPr>
      <w:ind w:hanging="0" w:start="5040" w:end="0"/>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1440" w:leader="none"/>
      </w:tabs>
      <w:ind w:hanging="2160" w:start="2160" w:end="0"/>
    </w:pPr>
    <w:rPr/>
  </w:style>
  <w:style w:type="paragraph" w:styleId="BodyTextIndent2">
    <w:name w:val="Body Text Indent 2"/>
    <w:basedOn w:val="Normal"/>
    <w:qFormat/>
    <w:pPr>
      <w:tabs>
        <w:tab w:val="left" w:pos="720" w:leader="none"/>
      </w:tabs>
      <w:ind w:hanging="1440" w:start="1440" w:end="0"/>
    </w:pPr>
    <w:rPr/>
  </w:style>
  <w:style w:type="paragraph" w:styleId="DefaultText">
    <w:name w:val="Default Text"/>
    <w:basedOn w:val="Normal"/>
    <w:qFormat/>
    <w:pPr/>
    <w:rPr/>
  </w:style>
  <w:style w:type="paragraph" w:styleId="FootnoteText">
    <w:name w:val="footnote text"/>
    <w:basedOn w:val="Normal"/>
    <w:pPr/>
    <w:rPr>
      <w:sz w:val="20"/>
    </w:rPr>
  </w:style>
  <w:style w:type="paragraph" w:styleId="DefinitionTerm">
    <w:name w:val="Definition Term"/>
    <w:basedOn w:val="Normal"/>
    <w:next w:val="DefinitionList"/>
    <w:qFormat/>
    <w:pPr/>
    <w:rPr>
      <w:lang w:eastAsia="en-US"/>
    </w:rPr>
  </w:style>
  <w:style w:type="paragraph" w:styleId="DefinitionList">
    <w:name w:val="Definition List"/>
    <w:basedOn w:val="Normal"/>
    <w:next w:val="DefinitionTerm"/>
    <w:qFormat/>
    <w:pPr>
      <w:ind w:hanging="0" w:start="360" w:end="0"/>
    </w:pPr>
    <w:rPr>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c.state.az.us/utility/electric/63364.pdf" TargetMode="External"/><Relationship Id="rId3" Type="http://schemas.openxmlformats.org/officeDocument/2006/relationships/hyperlink" Target="http://www.cc.state.az.us/utility/electric/standards/az_dasr_handbook.pdf" TargetMode="External"/><Relationship Id="rId4" Type="http://schemas.openxmlformats.org/officeDocument/2006/relationships/hyperlink" Target="http://www.calregs.com/cgi-bin/om_isapi.dll?clientID=1673992&amp;E22=title%2020&amp;E23=1390&amp;E24=&amp;infobase=ccr&amp;querytemplate=%261.%20Go%20to%20a%20Specific%20Section&amp;record=%7BA8B1D%7D&amp;softpage=Browse_Frame_Pg42" TargetMode="External"/><Relationship Id="rId5" Type="http://schemas.openxmlformats.org/officeDocument/2006/relationships/hyperlink" Target="http://www.resource-solutions.org/" TargetMode="External"/><Relationship Id="rId6" Type="http://schemas.openxmlformats.org/officeDocument/2006/relationships/hyperlink" Target="http://www.leginfo.ca.gov/pub/bill/asm/ab_0001-0050/abx1_1_bill_20010201_chaptered.html" TargetMode="External"/><Relationship Id="rId7" Type="http://schemas.openxmlformats.org/officeDocument/2006/relationships/hyperlink" Target="http://www.icc.state.il.us/icc/doclib/rules/83IAC451.pdf" TargetMode="External"/><Relationship Id="rId8" Type="http://schemas.openxmlformats.org/officeDocument/2006/relationships/hyperlink" Target="http://www.icc.state.il.us/icc/doclib/rules/83IAC451.pdf" TargetMode="External"/><Relationship Id="rId9" Type="http://schemas.openxmlformats.org/officeDocument/2006/relationships/hyperlink" Target="http://www.icc.state.il.us/icc/doclib/rules/83IAC451.pdf" TargetMode="External"/><Relationship Id="rId10" Type="http://schemas.openxmlformats.org/officeDocument/2006/relationships/hyperlink" Target="http://www.icc.state.il.us/icc/doclib/rules/83IAC451.pdf" TargetMode="External"/><Relationship Id="rId11" Type="http://schemas.openxmlformats.org/officeDocument/2006/relationships/hyperlink" Target="http://www.icc.state.il.us/icc/doclib/rules/83IAC451.pdf" TargetMode="External"/><Relationship Id="rId12" Type="http://schemas.openxmlformats.org/officeDocument/2006/relationships/hyperlink" Target="http://www.icc.state.il.us/icc/doclib/rules/83IAC451.pdf" TargetMode="External"/><Relationship Id="rId13" Type="http://schemas.openxmlformats.org/officeDocument/2006/relationships/hyperlink" Target="http://www.icc.state.il.us/icc/doclib/rules/83IAC451.pdf" TargetMode="External"/><Relationship Id="rId14" Type="http://schemas.openxmlformats.org/officeDocument/2006/relationships/hyperlink" Target="http://www.icc.state.il.us/icc/doclib/rules/83IAC451.pdf" TargetMode="External"/><Relationship Id="rId15" Type="http://schemas.openxmlformats.org/officeDocument/2006/relationships/hyperlink" Target="http://www.icc.state.il.us/icc/doclib/rules/83IAC451.pdf" TargetMode="External"/><Relationship Id="rId16" Type="http://schemas.openxmlformats.org/officeDocument/2006/relationships/hyperlink" Target="http://www.icc.state.il.us/icc/doclib/rules/83IAC451.pdf" TargetMode="External"/><Relationship Id="rId17" Type="http://schemas.openxmlformats.org/officeDocument/2006/relationships/hyperlink" Target="http://janus.state.me.us/mpuc/rules/Part%203/ch-305.pdf" TargetMode="External"/><Relationship Id="rId18" Type="http://schemas.openxmlformats.org/officeDocument/2006/relationships/hyperlink" Target="http://janus.state.me.us/mpuc/orders/2001/2001-20orc.pdf" TargetMode="External"/><Relationship Id="rId19" Type="http://schemas.openxmlformats.org/officeDocument/2006/relationships/hyperlink" Target="http://janus.state.me.us/mpuc/orders/2000/2000-904oar.pdf" TargetMode="External"/><Relationship Id="rId20" Type="http://schemas.openxmlformats.org/officeDocument/2006/relationships/hyperlink" Target="http://janus.state.me.us/mpuc/orders/2000/2000-808odcmp.pdf" TargetMode="External"/><Relationship Id="rId21" Type="http://schemas.openxmlformats.org/officeDocument/2006/relationships/hyperlink" Target="http://gov.state.nv.us/pr/2001/02-22nrgy.htm" TargetMode="External"/><Relationship Id="rId22" Type="http://schemas.openxmlformats.org/officeDocument/2006/relationships/hyperlink" Target="http://legis.state.nm.us/Sessions/01%20Regular/FinalVersions/senate/sb0266fv.pdf" TargetMode="External"/><Relationship Id="rId23" Type="http://schemas.openxmlformats.org/officeDocument/2006/relationships/hyperlink" Target="http://www.puc.state.oh.us/Docket/ORDERS/2001/0318/00-2412.pdf" TargetMode="External"/><Relationship Id="rId24" Type="http://schemas.openxmlformats.org/officeDocument/2006/relationships/hyperlink" Target="http://www.puc.state.or.us/erestruc/ar394/117pmm.pdf" TargetMode="External"/><Relationship Id="rId25" Type="http://schemas.openxmlformats.org/officeDocument/2006/relationships/hyperlink" Target="http://arcweb.sos.state.or.us/rules/OARS_800/OAR_860/860_038.html" TargetMode="External"/><Relationship Id="rId26" Type="http://schemas.openxmlformats.org/officeDocument/2006/relationships/hyperlink" Target="http://www.puc.state.or.us/orders/2001ords/01-203.pdf" TargetMode="External"/><Relationship Id="rId27" Type="http://schemas.openxmlformats.org/officeDocument/2006/relationships/hyperlink" Target="http://arcweb.sos.state.or.us/rules/OARS_800/OAR_860/860_038.html" TargetMode="External"/><Relationship Id="rId28" Type="http://schemas.openxmlformats.org/officeDocument/2006/relationships/hyperlink" Target="http://www.puc.state.or.us/agenda/pmemos/2001/032001/reg2.pdf" TargetMode="External"/><Relationship Id="rId29" Type="http://schemas.openxmlformats.org/officeDocument/2006/relationships/hyperlink" Target="http://www.puc.state.tx.us/rules/rulemake/22816/012301propose.pdf" TargetMode="External"/><Relationship Id="rId30" Type="http://schemas.openxmlformats.org/officeDocument/2006/relationships/hyperlink" Target="http://www.puc.state.tx.us/rules/rulemake/22816/011601labeling.pdf" TargetMode="External"/><Relationship Id="rId31" Type="http://schemas.openxmlformats.org/officeDocument/2006/relationships/footer" Target="footer1.xml"/><Relationship Id="rId32" Type="http://schemas.openxmlformats.org/officeDocument/2006/relationships/footer" Target="footer2.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LLGM_Memo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2001-04-23T18:57:00Z</dcterms:created>
  <dc:creator>IS Department</dc:creator>
  <dc:description/>
  <cp:keywords>HN 46460.5 02618 00746 4/16/2001  10:13 AM</cp:keywords>
  <dc:language>en-CA</dc:language>
  <cp:lastModifiedBy>LeBoeuf, Lamb, Greene &amp; MacRae, L.L.P.</cp:lastModifiedBy>
  <cp:lastPrinted>2001-04-04T13:26:00Z</cp:lastPrinted>
  <dcterms:modified xsi:type="dcterms:W3CDTF">2001-04-23T18:57:00Z</dcterms:modified>
  <cp:revision>4</cp:revision>
  <dc:subject/>
  <dc:title/>
</cp:coreProperties>
</file>