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FIRSTENERGY SETTLEMENT</w:t>
      </w:r>
    </w:p>
    <w:p>
      <w:pPr>
        <w:pStyle w:val="Normal"/>
        <w:jc w:val="center"/>
        <w:rPr>
          <w:b/>
        </w:rPr>
      </w:pPr>
      <w:r>
        <w:rPr>
          <w:b/>
        </w:rPr>
      </w:r>
    </w:p>
    <w:p>
      <w:pPr>
        <w:pStyle w:val="Normal"/>
        <w:rPr>
          <w:b/>
        </w:rPr>
      </w:pPr>
      <w:r>
        <w:rPr>
          <w:b/>
        </w:rPr>
      </w:r>
    </w:p>
    <w:p>
      <w:pPr>
        <w:pStyle w:val="Normal"/>
        <w:rPr/>
      </w:pPr>
      <w:r>
        <w:rPr/>
        <w:t>The settlement can basically be divided in separate parts which will be discussed below.  The first part involves the original settlement entered into after less than 48 hours  of open negotiations and which Enron opposed.  The second part is the changes made to the original settlement in order to get the marketers on board.  Enron was the last holdout.  The concessions are not great, but given our perception that the original settlement had a 99% likelihood of being accepted, we made the decision to get what we could.</w:t>
      </w:r>
    </w:p>
    <w:p>
      <w:pPr>
        <w:pStyle w:val="Normal"/>
        <w:rPr/>
      </w:pPr>
      <w:r>
        <w:rPr/>
      </w:r>
    </w:p>
    <w:p>
      <w:pPr>
        <w:pStyle w:val="Normal"/>
        <w:rPr/>
      </w:pPr>
      <w:r>
        <w:rPr/>
      </w:r>
    </w:p>
    <w:p>
      <w:pPr>
        <w:pStyle w:val="Heading1"/>
        <w:ind w:hanging="0" w:start="0"/>
        <w:rPr/>
      </w:pPr>
      <w:r>
        <w:rPr/>
        <w:t>The Original Settlement</w:t>
      </w:r>
    </w:p>
    <w:p>
      <w:pPr>
        <w:pStyle w:val="Normal"/>
        <w:rPr>
          <w:b/>
        </w:rPr>
      </w:pPr>
      <w:r>
        <w:rPr>
          <w:b/>
        </w:rPr>
      </w:r>
    </w:p>
    <w:p>
      <w:pPr>
        <w:pStyle w:val="Normal"/>
        <w:numPr>
          <w:ilvl w:val="0"/>
          <w:numId w:val="3"/>
        </w:numPr>
        <w:rPr/>
      </w:pPr>
      <w:r>
        <w:rPr/>
        <w:t>FirstEnergy gets approximately $8.7 billion in stranded cost overrecovery.</w:t>
      </w:r>
    </w:p>
    <w:p>
      <w:pPr>
        <w:pStyle w:val="Normal"/>
        <w:numPr>
          <w:ilvl w:val="0"/>
          <w:numId w:val="3"/>
        </w:numPr>
        <w:rPr/>
      </w:pPr>
      <w:r>
        <w:rPr/>
        <w:t>Base distribution rates are frozen until December 31, 2007 with caveats.</w:t>
      </w:r>
    </w:p>
    <w:p>
      <w:pPr>
        <w:pStyle w:val="Normal"/>
        <w:numPr>
          <w:ilvl w:val="0"/>
          <w:numId w:val="3"/>
        </w:numPr>
        <w:rPr/>
      </w:pPr>
      <w:r>
        <w:rPr/>
        <w:t>Rate reductions already required by previous orders will be implemented.</w:t>
      </w:r>
    </w:p>
    <w:p>
      <w:pPr>
        <w:pStyle w:val="Normal"/>
        <w:numPr>
          <w:ilvl w:val="0"/>
          <w:numId w:val="3"/>
        </w:numPr>
        <w:rPr/>
      </w:pPr>
      <w:r>
        <w:rPr/>
        <w:t>During 2001, the approximate 800 customers with special contracts will have the option to extend them through the Regulatory Transition Charge (RTC) recovery period (12/08 for CEI, 6/07 for TE and 12/06 for OE) or walk away from the contract with no penalties.</w:t>
      </w:r>
    </w:p>
    <w:p>
      <w:pPr>
        <w:pStyle w:val="Normal"/>
        <w:numPr>
          <w:ilvl w:val="0"/>
          <w:numId w:val="3"/>
        </w:numPr>
        <w:rPr/>
      </w:pPr>
      <w:r>
        <w:rPr/>
        <w:t>FE will make 1120 MW available at a market support price which varies by customer class available on a first come – first serve basis.   The terms were modified by the marketers and will be described below.</w:t>
      </w:r>
    </w:p>
    <w:p>
      <w:pPr>
        <w:pStyle w:val="Normal"/>
        <w:numPr>
          <w:ilvl w:val="0"/>
          <w:numId w:val="3"/>
        </w:numPr>
        <w:rPr/>
      </w:pPr>
      <w:r>
        <w:rPr/>
        <w:t>Shopping credits, which were approved by the marketers are available for the first 20% that switch.  For the shopping credit to be continued beyond that level requires a PUCO ruling allowing the utility to extend the RTC recovery period so that the utility can recover the cost differential between the shopping credit and the shopping incentive.</w:t>
      </w:r>
    </w:p>
    <w:p>
      <w:pPr>
        <w:pStyle w:val="Normal"/>
        <w:numPr>
          <w:ilvl w:val="0"/>
          <w:numId w:val="3"/>
        </w:numPr>
        <w:rPr/>
      </w:pPr>
      <w:r>
        <w:rPr/>
        <w:t>FE agrees to cover some of the transmission costs imposed by PJM or MISO for power coming into their service territory from suppliers, .</w:t>
      </w:r>
    </w:p>
    <w:p>
      <w:pPr>
        <w:pStyle w:val="Normal"/>
        <w:numPr>
          <w:ilvl w:val="0"/>
          <w:numId w:val="3"/>
        </w:numPr>
        <w:rPr/>
      </w:pPr>
      <w:r>
        <w:rPr/>
        <w:t>FE agrees to adopt the least restrictive outcome as between the settlement and the operational support workshop.  Among the issues addressed is that on the right of return, customers are given a 15 day window to leave – May 1 – May 15.  FE also agreed to a task force to work out operational support issues.</w:t>
      </w:r>
    </w:p>
    <w:p>
      <w:pPr>
        <w:pStyle w:val="Normal"/>
        <w:numPr>
          <w:ilvl w:val="0"/>
          <w:numId w:val="3"/>
        </w:numPr>
        <w:rPr/>
      </w:pPr>
      <w:r>
        <w:rPr/>
        <w:t>Any sale of generating assets at a price above fair market value will be used to offset stranded costs.</w:t>
      </w:r>
    </w:p>
    <w:p>
      <w:pPr>
        <w:pStyle w:val="Normal"/>
        <w:numPr>
          <w:ilvl w:val="0"/>
          <w:numId w:val="3"/>
        </w:numPr>
        <w:rPr/>
      </w:pPr>
      <w:r>
        <w:rPr/>
        <w:t>A regulatory asset tracking mechanism is established.</w:t>
      </w:r>
    </w:p>
    <w:p>
      <w:pPr>
        <w:pStyle w:val="Normal"/>
        <w:rPr/>
      </w:pPr>
      <w:r>
        <w:rPr/>
      </w:r>
    </w:p>
    <w:p>
      <w:pPr>
        <w:pStyle w:val="Normal"/>
        <w:rPr/>
      </w:pPr>
      <w:r>
        <w:rPr/>
      </w:r>
    </w:p>
    <w:p>
      <w:pPr>
        <w:pStyle w:val="Heading1"/>
        <w:ind w:hanging="0" w:start="0"/>
        <w:rPr/>
      </w:pPr>
      <w:r>
        <w:rPr/>
        <w:t>The Supplemental Agreement with Marketers</w:t>
      </w:r>
    </w:p>
    <w:p>
      <w:pPr>
        <w:pStyle w:val="Normal"/>
        <w:rPr/>
      </w:pPr>
      <w:r>
        <w:rPr/>
      </w:r>
    </w:p>
    <w:p>
      <w:pPr>
        <w:pStyle w:val="Normal"/>
        <w:numPr>
          <w:ilvl w:val="0"/>
          <w:numId w:val="2"/>
        </w:numPr>
        <w:rPr/>
      </w:pPr>
      <w:r>
        <w:rPr/>
        <w:t>With respect to the Market Support Generation (MSG) made available by FE, it shall be on a first-come basis with the FE affiliates being required to relinquish their power if the 1120 MW is oversubscribed; however, that relinquishment will not apply to governmental aggregators.</w:t>
      </w:r>
    </w:p>
    <w:p>
      <w:pPr>
        <w:pStyle w:val="Normal"/>
        <w:numPr>
          <w:ilvl w:val="0"/>
          <w:numId w:val="2"/>
        </w:numPr>
        <w:rPr/>
      </w:pPr>
      <w:r>
        <w:rPr/>
        <w:t xml:space="preserve">With respect to the MSG, the allocation is based on the customer’s highest annual peak.  The marketers will have the option of choosing either a load following option under which the customer’s load will be treated as native load and FE will not require scheduling or load factor commitment, will provide load-following services and will not assess imbalance fees up to the customers annual peak load or apply such imbalance amounts in determining whether a net retail imbalance exists in excess of 88 MW; </w:t>
      </w:r>
      <w:r>
        <w:rPr>
          <w:b/>
        </w:rPr>
        <w:t>or</w:t>
      </w:r>
      <w:r>
        <w:rPr/>
        <w:t xml:space="preserve"> use the MSG for the entire customer load in which the capacity factor will be determined monthly or use the MSG for a part of the customer’s load , using any other generation to serve load under a separate procedure.  That separate procedure in essence entails allowing the marketer to schedule on an hourly basis the amount of power it wants to utilize.</w:t>
      </w:r>
    </w:p>
    <w:p>
      <w:pPr>
        <w:pStyle w:val="Normal"/>
        <w:numPr>
          <w:ilvl w:val="0"/>
          <w:numId w:val="2"/>
        </w:numPr>
        <w:rPr/>
      </w:pPr>
      <w:r>
        <w:rPr/>
        <w:t>The capacity factor for the MSG is modified so that power for commercial customers with loads greater than 30kw will be made available on a 365 day by 24 hour schedule at a 70% - 100% capacity factor measured monthly.</w:t>
      </w:r>
    </w:p>
    <w:p>
      <w:pPr>
        <w:pStyle w:val="Normal"/>
        <w:numPr>
          <w:ilvl w:val="0"/>
          <w:numId w:val="2"/>
        </w:numPr>
        <w:rPr/>
      </w:pPr>
      <w:r>
        <w:rPr/>
        <w:t>Shopping incentives for commercial and industrial customers were revised upward . (See the attachment to this settlement).  The shopping credits with incentives will not be increased in years in which  shopping exceeds 20%, however the market support prices will continue to increase as reflected in the schedules by the percentage utilized at the time of reaching the 20%.</w:t>
      </w:r>
    </w:p>
    <w:p>
      <w:pPr>
        <w:pStyle w:val="Normal"/>
        <w:numPr>
          <w:ilvl w:val="0"/>
          <w:numId w:val="2"/>
        </w:numPr>
        <w:rPr/>
      </w:pPr>
      <w:r>
        <w:rPr/>
        <w:t>The Market Support Prices include losses.  Additionally, another 1120 MW used by marketers on a first come basis will also be credited for line losses except during June through August.</w:t>
      </w:r>
    </w:p>
    <w:p>
      <w:pPr>
        <w:pStyle w:val="Normal"/>
        <w:numPr>
          <w:ilvl w:val="0"/>
          <w:numId w:val="2"/>
        </w:numPr>
        <w:rPr/>
      </w:pPr>
      <w:r>
        <w:rPr/>
        <w:t>FE will provide nondiscriminatory access to its transmission and distribution system under the same terms and conditions to all users of the system.</w:t>
      </w:r>
    </w:p>
    <w:p>
      <w:pPr>
        <w:pStyle w:val="Normal"/>
        <w:numPr>
          <w:ilvl w:val="0"/>
          <w:numId w:val="2"/>
        </w:numPr>
        <w:rPr/>
      </w:pPr>
      <w:r>
        <w:rPr/>
        <w:t>$5.00 switching fee is waived the first time a customer exercises choice, except with a governmental aggregator.</w:t>
      </w:r>
    </w:p>
    <w:p>
      <w:pPr>
        <w:pStyle w:val="Normal"/>
        <w:numPr>
          <w:ilvl w:val="0"/>
          <w:numId w:val="2"/>
        </w:numPr>
        <w:rPr/>
      </w:pPr>
      <w:r>
        <w:rPr/>
        <w:t>The threshold for installation of an interval meter is raised from 100kw to 400kw in 2001 and 2002, and to 300kw in 2003 and 200kw thereafter.</w:t>
      </w:r>
    </w:p>
    <w:p>
      <w:pPr>
        <w:pStyle w:val="Normal"/>
        <w:numPr>
          <w:ilvl w:val="0"/>
          <w:numId w:val="2"/>
        </w:numPr>
        <w:rPr/>
      </w:pPr>
      <w:r>
        <w:rPr/>
        <w:t>PUCO can increase shopping incentive at beginning in stead of end of 2003.</w:t>
      </w:r>
    </w:p>
    <w:p>
      <w:pPr>
        <w:pStyle w:val="Normal"/>
        <w:numPr>
          <w:ilvl w:val="0"/>
          <w:numId w:val="2"/>
        </w:numPr>
        <w:rPr/>
      </w:pPr>
      <w:r>
        <w:rPr/>
        <w:t>FE will provide a list of contract customers.  The fresh look provision allows for distributed generation as an alternative.</w:t>
      </w:r>
    </w:p>
    <w:p>
      <w:pPr>
        <w:pStyle w:val="Normal"/>
        <w:numPr>
          <w:ilvl w:val="0"/>
          <w:numId w:val="2"/>
        </w:numPr>
        <w:rPr/>
      </w:pPr>
      <w:r>
        <w:rPr/>
        <w:t>FE will apply to FERC to modify its tariffs to utilize the energy imbalance approach utilized by Com 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2000-05-16T23:30:00Z</dcterms:created>
  <dc:creator>jmigden</dc:creator>
  <dc:description/>
  <dc:language>en-CA</dc:language>
  <cp:lastModifiedBy>jmigden</cp:lastModifiedBy>
  <cp:lastPrinted>2000-05-19T14:47:00Z</cp:lastPrinted>
  <dcterms:modified xsi:type="dcterms:W3CDTF">2000-05-19T17:19:00Z</dcterms:modified>
  <cp:revision>2</cp:revision>
  <dc:subject/>
  <dc:title>FIRSTENERGY SETTLEMENT</dc:title>
</cp:coreProperties>
</file>