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GTC.DOC</w:t>
      </w:r>
    </w:p>
    <w:p>
      <w:pPr>
        <w:pStyle w:val="Normal"/>
        <w:bidi w:val="0"/>
        <w:jc w:val="start"/>
        <w:rPr/>
      </w:pPr>
      <w:r>
        <w:rPr/>
        <w:t>and revised document: O:\LEGAL\MCOOK\FORMS\FIRM GAS GTC COLLATERAL SUPPORT.DOC</w:t>
      </w:r>
    </w:p>
    <w:p>
      <w:pPr>
        <w:pStyle w:val="Normal"/>
        <w:bidi w:val="0"/>
        <w:jc w:val="start"/>
        <w:rPr/>
      </w:pPr>
      <w:r>
        <w:rPr/>
      </w:r>
    </w:p>
    <w:p>
      <w:pPr>
        <w:pStyle w:val="Normal"/>
        <w:bidi w:val="0"/>
        <w:jc w:val="start"/>
        <w:rPr/>
      </w:pPr>
      <w:r>
        <w:rPr/>
        <w:t>CompareRite found      10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FIRM GENERAL TERMS &amp; CONDITIONS (GAS)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w:t>
      </w:r>
      <w:r>
        <w:rPr>
          <w:rFonts w:ascii="Arial" w:hAnsi="Arial"/>
          <w:b/>
          <w:sz w:val="20"/>
        </w:rPr>
        <w:t>[NETCO]</w:t>
      </w:r>
      <w:r>
        <w:rPr>
          <w:rFonts w:ascii="Arial" w:hAnsi="Arial"/>
          <w:sz w:val="20"/>
        </w:rPr>
        <w:t xml:space="preserve"> ("</w:t>
      </w:r>
      <w:r>
        <w:rPr>
          <w:rFonts w:ascii="Arial" w:hAnsi="Arial"/>
          <w:sz w:val="20"/>
          <w:u w:val="single"/>
        </w:rPr>
        <w:t>Company</w:t>
      </w:r>
      <w:r>
        <w:rPr>
          <w:rFonts w:ascii="Arial" w:hAnsi="Arial"/>
          <w:sz w:val="20"/>
        </w:rPr>
        <w:t>") and counterparty from time to time may engage in transactions pursuant to this GTC and the terms set forth in the internet-based electronic trading facility established by Company referencing this GTC (the "</w:t>
      </w:r>
      <w:r>
        <w:rPr>
          <w:rFonts w:ascii="Arial" w:hAnsi="Arial"/>
          <w:sz w:val="20"/>
          <w:u w:val="single"/>
        </w:rPr>
        <w:t>Website</w:t>
      </w:r>
      <w:r>
        <w:rPr>
          <w:rFonts w:ascii="Arial" w:hAnsi="Arial"/>
          <w:sz w:val="20"/>
        </w:rPr>
        <w:t>") submitted by counterparty and accepted by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Liquidated Damages</w:t>
      </w:r>
      <w:r>
        <w:rPr>
          <w:rFonts w:ascii="Arial" w:hAnsi="Arial"/>
          <w:sz w:val="20"/>
        </w:rPr>
        <w:t xml:space="preserve">.    The </w:t>
      </w:r>
      <w:r>
        <w:rPr>
          <w:rFonts w:ascii="Arial" w:hAnsi="Arial"/>
          <w:b/>
          <w:sz w:val="20"/>
        </w:rPr>
        <w:t>Daily Contract Quantity</w:t>
      </w:r>
      <w:r>
        <w:rPr>
          <w:rFonts w:ascii="Arial" w:hAnsi="Arial"/>
          <w:sz w:val="20"/>
        </w:rPr>
        <w:t xml:space="preserve"> shall be scheduled on a firm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Delivery Point(s)</w:t>
      </w:r>
      <w:r>
        <w:rPr>
          <w:rFonts w:ascii="Arial" w:hAnsi="Arial"/>
          <w:sz w:val="20"/>
        </w:rPr>
        <w:t xml:space="preserve"> during the </w:t>
      </w:r>
      <w:r>
        <w:rPr>
          <w:rFonts w:ascii="Arial" w:hAnsi="Arial"/>
          <w:b/>
          <w:sz w:val="20"/>
        </w:rPr>
        <w:t>Period of Delivery</w:t>
      </w:r>
      <w:r>
        <w:rPr>
          <w:rFonts w:ascii="Arial" w:hAnsi="Arial"/>
          <w:sz w:val="20"/>
        </w:rPr>
        <w:t xml:space="preserve"> and at the </w:t>
      </w:r>
      <w:r>
        <w:rPr>
          <w:rFonts w:ascii="Arial" w:hAnsi="Arial"/>
          <w:b/>
          <w:sz w:val="20"/>
        </w:rPr>
        <w:t xml:space="preserve">Contract Price </w:t>
      </w:r>
      <w:r>
        <w:rPr>
          <w:rFonts w:ascii="Arial" w:hAnsi="Arial"/>
          <w:sz w:val="20"/>
        </w:rPr>
        <w:t xml:space="preserve">as such terms are designated in each Transaction.    Unless excused by Force Majeure (defined in </w:t>
      </w:r>
      <w:r>
        <w:rPr>
          <w:rFonts w:ascii="Arial" w:hAnsi="Arial"/>
          <w:sz w:val="20"/>
          <w:u w:val="single"/>
        </w:rPr>
        <w:t>Section 4</w:t>
      </w:r>
      <w:r>
        <w:rPr>
          <w:rFonts w:ascii="Arial" w:hAnsi="Arial"/>
          <w:sz w:val="20"/>
        </w:rPr>
        <w:t>) or the other party's failure to perform its obligations hereunder, if on any day a party fails to schedule on a firm basis the Daily Contract Quantity, then such occurrence shall constitute a "</w:t>
      </w:r>
      <w:r>
        <w:rPr>
          <w:rFonts w:ascii="Arial" w:hAnsi="Arial"/>
          <w:sz w:val="20"/>
          <w:u w:val="single"/>
        </w:rPr>
        <w:t>Deficiency Breach</w:t>
      </w:r>
      <w:r>
        <w:rPr>
          <w:rFonts w:ascii="Arial" w:hAnsi="Arial"/>
          <w:sz w:val="20"/>
        </w:rPr>
        <w:t>" and the "</w:t>
      </w:r>
      <w:r>
        <w:rPr>
          <w:rFonts w:ascii="Arial" w:hAnsi="Arial"/>
          <w:sz w:val="20"/>
          <w:u w:val="single"/>
        </w:rPr>
        <w:t>Deficiency Quantity</w:t>
      </w:r>
      <w:r>
        <w:rPr>
          <w:rFonts w:ascii="Arial" w:hAnsi="Arial"/>
          <w:sz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ascii="Arial" w:hAnsi="Arial"/>
          <w:sz w:val="20"/>
          <w:u w:val="single"/>
        </w:rPr>
        <w:t>sum</w:t>
      </w:r>
      <w:r>
        <w:rPr>
          <w:rFonts w:ascii="Arial" w:hAnsi="Arial"/>
          <w:sz w:val="20"/>
        </w:rPr>
        <w:t xml:space="preserve"> of the product of the Deficiency Quantity multiplied by the Replacement Price Differential (below defined) </w:t>
      </w:r>
      <w:r>
        <w:rPr>
          <w:rFonts w:ascii="Arial" w:hAnsi="Arial"/>
          <w:sz w:val="20"/>
          <w:u w:val="single"/>
        </w:rPr>
        <w:t>plus</w:t>
      </w:r>
      <w:r>
        <w:rPr>
          <w:rFonts w:ascii="Arial" w:hAnsi="Arial"/>
          <w:sz w:val="20"/>
        </w:rPr>
        <w:t xml:space="preserve"> $0.15 multiplied by the Deficiency Quantity.    All amounts payable pursuant to this </w:t>
      </w:r>
      <w:r>
        <w:rPr>
          <w:rFonts w:ascii="Arial" w:hAnsi="Arial"/>
          <w:sz w:val="20"/>
          <w:u w:val="single"/>
        </w:rPr>
        <w:t>Section 2</w:t>
      </w:r>
      <w:r>
        <w:rPr>
          <w:rFonts w:ascii="Arial" w:hAnsi="Arial"/>
          <w:sz w:val="20"/>
        </w:rPr>
        <w:t xml:space="preserve"> shall be due and payable within five Business Days (below defined) following the receipt of a statement therefor, which amounts shall accrue interest at the Interest Rate (below defined) from the date due until paid. 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Replacement Price Differential</w:t>
      </w:r>
      <w:r>
        <w:rPr>
          <w:rFonts w:ascii="Arial" w:hAnsi="Arial"/>
          <w:sz w:val="20"/>
        </w:rPr>
        <w:t xml:space="preserve">" means (i) in the event of a Seller's Deficiency Breach, the positive difference, if any, obtained by subtracting the Contract Price </w:t>
      </w:r>
      <w:r>
        <w:rPr>
          <w:rFonts w:ascii="Arial" w:hAnsi="Arial"/>
          <w:sz w:val="20"/>
          <w:u w:val="single"/>
        </w:rPr>
        <w:t>from</w:t>
      </w:r>
      <w:r>
        <w:rPr>
          <w:rFonts w:ascii="Arial" w:hAnsi="Arial"/>
          <w:sz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ascii="Arial" w:hAnsi="Arial"/>
          <w:sz w:val="20"/>
          <w:u w:val="single"/>
        </w:rPr>
        <w:t>from</w:t>
      </w:r>
      <w:r>
        <w:rPr>
          <w:rFonts w:ascii="Arial" w:hAnsi="Arial"/>
          <w:sz w:val="20"/>
        </w:rPr>
        <w:t xml:space="preserve"> the Contract Price. 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Spot Price</w:t>
      </w:r>
      <w:r>
        <w:rPr>
          <w:rFonts w:ascii="Arial" w:hAnsi="Arial"/>
          <w:sz w:val="20"/>
        </w:rPr>
        <w:t xml:space="preserve">" means the "Daily Midpoint" price set forth in </w:t>
      </w:r>
      <w:r>
        <w:rPr>
          <w:rFonts w:ascii="Arial" w:hAnsi="Arial"/>
          <w:sz w:val="20"/>
          <w:u w:val="single"/>
        </w:rPr>
        <w:t>Gas Daily</w:t>
      </w:r>
      <w:r>
        <w:rPr>
          <w:rFonts w:ascii="Arial" w:hAnsi="Arial"/>
          <w:sz w:val="20"/>
        </w:rPr>
        <w:t xml:space="preserve">®, or successor publication, in the column "Daily Price Survey" under the listing applicable to the geographic location closest in proximity to the Delivery Point(s) for the relevant day.    If there is no single "Daily Midpoint" price for that particular day, but there is published a "Common" range of prices under the above column and listing, then the Spot Price shall be the average of such "Common" high and low prices.    In the event that no "Daily Midpoint" price or "Common" range of prices is published for that particular day, then the Spot Price shall be the average of the following:    the price determined as above stated for each of the first day immediately preceding and following the day in which the default occurred for which a Spot Price can be determined. 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 xml:space="preserve">"); provided, any notice in respect of a Scheduling Event of Default (below defined) shall be given no later than 60 days after the occurrence of such Scheduling Event of Default. 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below defined) resulting from the termination of the parties' obligations under all Transactions with respect to all Payment Dates (defined in </w:t>
      </w:r>
      <w:r>
        <w:rPr>
          <w:rFonts w:ascii="Arial" w:hAnsi="Arial"/>
          <w:sz w:val="20"/>
          <w:u w:val="single"/>
        </w:rPr>
        <w:t>Section 6</w:t>
      </w:r>
      <w:r>
        <w:rPr>
          <w:rFonts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ascii="Arial" w:hAnsi="Arial"/>
          <w:sz w:val="20"/>
          <w:u w:val="single"/>
        </w:rPr>
        <w:t>Termination Payment</w:t>
      </w:r>
      <w:r>
        <w:rPr>
          <w:rFonts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ascii="Arial" w:hAnsi="Arial"/>
          <w:sz w:val="20"/>
          <w:u w:val="single"/>
        </w:rPr>
        <w:t>Section 5</w:t>
      </w:r>
      <w:r>
        <w:rPr>
          <w:rFonts w:ascii="Arial" w:hAnsi="Arial"/>
          <w:sz w:val="20"/>
        </w:rPr>
        <w:t xml:space="preserve">, the non-defaulting party shall pay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Costs</w:t>
      </w:r>
      <w:r>
        <w:rPr>
          <w:rFonts w:ascii="Arial" w:hAnsi="Arial"/>
          <w:sz w:val="20"/>
        </w:rPr>
        <w:t>" means, with respect to a party, brokerage fees, commissions and other similar transaction costs and expenses reasonably incurred by such a party in entering into new arrangements which replace a Transaction; "</w:t>
      </w:r>
      <w:r>
        <w:rPr>
          <w:rFonts w:ascii="Arial" w:hAnsi="Arial"/>
          <w:sz w:val="20"/>
          <w:u w:val="single"/>
        </w:rPr>
        <w:t>Gains</w:t>
      </w:r>
      <w:r>
        <w:rPr>
          <w:rFonts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ascii="Arial" w:hAnsi="Arial"/>
          <w:sz w:val="20"/>
          <w:u w:val="single"/>
        </w:rPr>
        <w:t>Losses</w:t>
      </w:r>
      <w:r>
        <w:rPr>
          <w:rFonts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any of the following:    (i) the failure by the Defaulting Party to make, when due, any payment required hereunder</w:t>
      </w:r>
      <w:r>
        <w:rPr>
          <w:rFonts w:ascii="Arial" w:hAnsi="Arial"/>
          <w:b/>
          <w:sz w:val="20"/>
        </w:rPr>
        <w:t xml:space="preserve">[, or to provide credit support pursuant to </w:t>
      </w:r>
      <w:r>
        <w:rPr>
          <w:rFonts w:ascii="Arial" w:hAnsi="Arial"/>
          <w:b/>
          <w:sz w:val="20"/>
          <w:u w:val="single"/>
        </w:rPr>
        <w:t>Section 16</w:t>
      </w:r>
      <w:r>
        <w:rPr>
          <w:rFonts w:ascii="Arial" w:hAnsi="Arial"/>
          <w:b/>
          <w:sz w:val="20"/>
        </w:rPr>
        <w:t>, in each case]</w:t>
      </w:r>
      <w:r>
        <w:rPr>
          <w:rFonts w:ascii="Arial" w:hAnsi="Arial"/>
          <w:sz w:val="20"/>
        </w:rPr>
        <w:t xml:space="preserve">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material covenant set forth herein other than the </w:t>
      </w:r>
      <w:r>
        <w:rPr>
          <w:rFonts w:ascii="Arial" w:hAnsi="Arial"/>
          <w:strike/>
          <w:sz w:val="20"/>
        </w:rPr>
        <w:t>{obligation to make payment}</w:t>
      </w:r>
      <w:r>
        <w:rPr>
          <w:rFonts w:ascii="Arial" w:hAnsi="Arial"/>
          <w:sz w:val="20"/>
        </w:rPr>
        <w:t xml:space="preserve"> </w:t>
      </w:r>
      <w:r>
        <w:rPr>
          <w:rFonts w:ascii="Arial" w:hAnsi="Arial"/>
          <w:b/>
          <w:sz w:val="20"/>
        </w:rPr>
        <w:t>[covenants set forth in item (i) above]</w:t>
      </w:r>
      <w:r>
        <w:rPr>
          <w:rFonts w:ascii="Arial" w:hAnsi="Arial"/>
          <w:sz w:val="20"/>
        </w:rPr>
        <w:t xml:space="preser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rFonts w:ascii="Arial" w:hAnsi="Arial"/>
          <w:sz w:val="20"/>
          <w:u w:val="single"/>
        </w:rPr>
        <w:t>Bankruptcy Event of Default</w:t>
      </w:r>
      <w:r>
        <w:rPr>
          <w:rFonts w:ascii="Arial" w:hAnsi="Arial"/>
          <w:sz w:val="20"/>
        </w:rPr>
        <w:t>");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(vi) the Defaulting Party's failure to schedule the Daily Contract Quantity for a cumulative period of 45 or more days in a 12 month period in any one Transaction unless excused by Force Majeure or the other party's failure to perform its obligations hereunder (a "</w:t>
      </w:r>
      <w:r>
        <w:rPr>
          <w:rFonts w:ascii="Arial" w:hAnsi="Arial"/>
          <w:sz w:val="20"/>
          <w:u w:val="single"/>
        </w:rPr>
        <w:t>Scheduling Event of Default</w:t>
      </w:r>
      <w:r>
        <w:rPr>
          <w:rFonts w:ascii="Arial" w:hAnsi="Arial"/>
          <w:sz w:val="20"/>
        </w:rPr>
        <w:t xml:space="preserve">"); </w:t>
      </w:r>
      <w:r>
        <w:rPr>
          <w:rFonts w:ascii="Arial" w:hAnsi="Arial"/>
          <w:strike/>
          <w:sz w:val="20"/>
        </w:rPr>
        <w:t>{or}</w:t>
      </w:r>
      <w:r>
        <w:rPr>
          <w:rFonts w:ascii="Arial" w:hAnsi="Arial"/>
          <w:sz w:val="20"/>
        </w:rPr>
        <w:t>(vii) an event of default occurs (howsoever determined) under any transaction consummated under the Spot General Terms &amp; Conditions (Gas) between Company and counterparty (the "</w:t>
      </w:r>
      <w:r>
        <w:rPr>
          <w:rFonts w:ascii="Arial" w:hAnsi="Arial"/>
          <w:sz w:val="20"/>
          <w:u w:val="single"/>
        </w:rPr>
        <w:t>Spot GTC</w:t>
      </w:r>
      <w:r>
        <w:rPr>
          <w:rFonts w:ascii="Arial" w:hAnsi="Arial"/>
          <w:sz w:val="20"/>
        </w:rPr>
        <w:t>"), if any, or any transaction consummated under Base Contract For Short-Term Sale and Purchase of Natural Gas (GISB Form) between Company and counterparty (the "</w:t>
      </w:r>
      <w:r>
        <w:rPr>
          <w:rFonts w:ascii="Arial" w:hAnsi="Arial"/>
          <w:sz w:val="20"/>
          <w:u w:val="single"/>
        </w:rPr>
        <w:t>GISB Contract</w:t>
      </w:r>
      <w:r>
        <w:rPr>
          <w:rFonts w:ascii="Arial" w:hAnsi="Arial"/>
          <w:sz w:val="20"/>
        </w:rPr>
        <w:t>"), if any, or any other transaction between Company and counterparty for the purchase or sale of natural gas</w:t>
      </w:r>
      <w:r>
        <w:rPr>
          <w:rFonts w:ascii="Arial" w:hAnsi="Arial"/>
          <w:b/>
          <w:sz w:val="20"/>
        </w:rPr>
        <w:t xml:space="preserve">[; (viii) the guarantor of the Defaulting Party fails to perform any covenant set forth in any guaranty agreement provided pursuant to </w:t>
      </w:r>
      <w:r>
        <w:rPr>
          <w:rFonts w:ascii="Arial" w:hAnsi="Arial"/>
          <w:b/>
          <w:sz w:val="20"/>
          <w:u w:val="single"/>
        </w:rPr>
        <w:t>Section 16</w:t>
      </w:r>
      <w:r>
        <w:rPr>
          <w:rFonts w:ascii="Arial" w:hAnsi="Arial"/>
          <w:b/>
          <w:sz w:val="20"/>
        </w:rPr>
        <w:t xml:space="preserve">, any representation or warranty made by the guarantor in such guaranty agreement shall prove to have been false or misleading in any material respect, or the guarantor shall take or suffer any actions set forth in item (iv) above as applied to it; or (ix) the issuer of a letter of credit provided pursuant to </w:t>
      </w:r>
      <w:r>
        <w:rPr>
          <w:rFonts w:ascii="Arial" w:hAnsi="Arial"/>
          <w:b/>
          <w:sz w:val="20"/>
          <w:u w:val="single"/>
        </w:rPr>
        <w:t>Section 16</w:t>
      </w:r>
      <w:r>
        <w:rPr>
          <w:rFonts w:ascii="Arial" w:hAnsi="Arial"/>
          <w:sz w:val="20"/>
        </w:rPr>
        <w:t xml:space="preserve"> </w:t>
      </w:r>
      <w:r>
        <w:rPr>
          <w:rFonts w:ascii="Arial" w:hAnsi="Arial"/>
          <w:b/>
          <w:sz w:val="20"/>
        </w:rPr>
        <w:t>shall fail to comply with or perform its obligations under such letter of credit if such failure shall be continuing after the lapse of any applicable grace period, or shall disaffirm, disclaim, repudiate or reject, in whole or in part, or challenge the validity of, such letter of credit, or shall take or suffer any actions set forth in item (iv) above as applied to it, or such letter of credit shall expire or terminate, or shall fail or cease to be in full force and effect at any time during the term of the Transaction for which it is issued without having been replaced]</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4. Force Majeure</w:t>
      </w:r>
      <w:r>
        <w:rPr>
          <w:rFonts w:ascii="Arial" w:hAnsi="Arial"/>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w:hAnsi="Arial"/>
          <w:sz w:val="20"/>
          <w:u w:val="single"/>
        </w:rPr>
        <w:t>Claiming Party</w:t>
      </w:r>
      <w:r>
        <w:rPr>
          <w:rFonts w:ascii="Arial" w:hAnsi="Arial"/>
          <w:sz w:val="20"/>
        </w:rPr>
        <w:t>").    No provision herein shall require or permit either party to schedule gas in excess of the Daily Contract Quantity or at points other than the Delivery Point(s).    The party claiming Force Majeure shall provide the non-claiming party notice of the Claiming Party's best estimate of the duration of the Force Majeure (the "</w:t>
      </w:r>
      <w:r>
        <w:rPr>
          <w:rFonts w:ascii="Arial" w:hAnsi="Arial"/>
          <w:sz w:val="20"/>
          <w:u w:val="single"/>
        </w:rPr>
        <w:t>Estimated Duration</w:t>
      </w:r>
      <w:r>
        <w:rPr>
          <w:rFonts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w:hAnsi="Arial"/>
          <w:sz w:val="20"/>
          <w:u w:val="single"/>
        </w:rPr>
        <w:t>Section 3</w:t>
      </w:r>
      <w:r>
        <w:rPr>
          <w:rFonts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w:hAnsi="Arial"/>
          <w:sz w:val="20"/>
          <w:u w:val="single"/>
        </w:rPr>
        <w:t>Section 3</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Force Majeure</w:t>
      </w:r>
      <w:r>
        <w:rPr>
          <w:rFonts w:ascii="Arial" w:hAnsi="Arial"/>
          <w:sz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ascii="Arial" w:hAnsi="Arial"/>
          <w:sz w:val="20"/>
          <w:u w:val="single"/>
        </w:rPr>
        <w:t>Force Majeure</w:t>
      </w:r>
      <w:r>
        <w:rPr>
          <w:rFonts w:ascii="Arial" w:hAnsi="Arial"/>
          <w:sz w:val="20"/>
        </w:rPr>
        <w:t>.    To the extent set forth above, Force Majeure shall include an event of Force Majeure occurring with respect to the obligations and facilities of transporters.</w:t>
      </w:r>
    </w:p>
    <w:p>
      <w:pPr>
        <w:pStyle w:val="Normal"/>
        <w:bidi w:val="0"/>
        <w:jc w:val="both"/>
        <w:rPr>
          <w:rFonts w:ascii="Arial" w:hAnsi="Arial"/>
          <w:b/>
          <w:sz w:val="20"/>
        </w:rPr>
      </w:pPr>
      <w:r>
        <w:rPr>
          <w:rFonts w:ascii="Arial" w:hAnsi="Arial"/>
          <w:b/>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5.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(below defined) of X under this GTC, the Spot GTC, the GISB Contract, or under any other agreement(s), instrument(s) or undertaking(s), any amounts Owed in Dollars or any other currency by Y to X or any of X's Affiliates under this GTC, the Spot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5</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5</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5</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w:t>
      </w:r>
      <w:r>
        <w:rPr>
          <w:rFonts w:ascii="Arial" w:hAnsi="Arial"/>
          <w:sz w:val="20"/>
          <w:u w:val="single"/>
        </w:rPr>
        <w:t>Section 5</w:t>
      </w:r>
      <w:r>
        <w:rPr>
          <w:rFonts w:ascii="Arial" w:hAnsi="Arial"/>
          <w:sz w:val="20"/>
        </w:rPr>
        <w:t xml:space="preserve"> are an integral part of the GTC between the parties and that without such rights the parties would not be willing to enter into Transactions.    The parties further acknowledge that each is executing this GTC on behalf of itself as principal and, with respect to this </w:t>
      </w:r>
      <w:r>
        <w:rPr>
          <w:rFonts w:ascii="Arial" w:hAnsi="Arial"/>
          <w:sz w:val="20"/>
          <w:u w:val="single"/>
        </w:rPr>
        <w:t>Section 5</w:t>
      </w:r>
      <w:r>
        <w:rPr>
          <w:rFonts w:ascii="Arial" w:hAnsi="Arial"/>
          <w:sz w:val="20"/>
        </w:rPr>
        <w:t xml:space="preserve">, as agent on behalf of its Affiliates, which Affiliates shall receive the benefits of this </w:t>
      </w:r>
      <w:r>
        <w:rPr>
          <w:rFonts w:ascii="Arial" w:hAnsi="Arial"/>
          <w:sz w:val="20"/>
          <w:u w:val="single"/>
        </w:rPr>
        <w:t>Section 5</w:t>
      </w:r>
      <w:r>
        <w:rPr>
          <w:rFonts w:ascii="Arial" w:hAnsi="Arial"/>
          <w:sz w:val="20"/>
        </w:rPr>
        <w:t xml:space="preserve"> and otherwise be bound as if such Affiliates had entered into this GTC as its relates to </w:t>
      </w:r>
      <w:r>
        <w:rPr>
          <w:rFonts w:ascii="Arial" w:hAnsi="Arial"/>
          <w:sz w:val="20"/>
          <w:u w:val="single"/>
        </w:rPr>
        <w:t>Section 5</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5</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the Spot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Affiliate</w:t>
      </w:r>
      <w:r>
        <w:rPr>
          <w:rFonts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Payments</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6</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Buyer and Seller are each required to pay an amount in the same month pursuant to Transactions under this GTC, the Spot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7.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8.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9. Operations and Delivery</w:t>
      </w:r>
      <w:r>
        <w:rPr>
          <w:rFonts w:ascii="Arial" w:hAnsi="Arial"/>
          <w:sz w:val="20"/>
        </w:rPr>
        <w:t>.</w:t>
      </w:r>
      <w:r>
        <w:rPr>
          <w:rFonts w:ascii="Arial" w:hAnsi="Arial"/>
          <w:b/>
          <w:sz w:val="20"/>
        </w:rPr>
        <w:t xml:space="preserve">    </w:t>
      </w:r>
      <w:r>
        <w:rPr>
          <w:rFonts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10. Arbitration</w:t>
      </w:r>
      <w:r>
        <w:rPr>
          <w:rFonts w:ascii="Arial" w:hAnsi="Arial"/>
          <w:sz w:val="20"/>
        </w:rPr>
        <w:t>.    Any dispute relating to this GTC shall be resolved by binding arbitration conducted in accordance with the Commercial Arbitration Rules of the American Arbitration Association ("</w:t>
      </w:r>
      <w:r>
        <w:rPr>
          <w:rFonts w:ascii="Arial" w:hAnsi="Arial"/>
          <w:sz w:val="20"/>
          <w:u w:val="single"/>
        </w:rPr>
        <w:t>AAA</w:t>
      </w:r>
      <w:r>
        <w:rPr>
          <w:rFonts w:ascii="Arial" w:hAnsi="Arial"/>
          <w:sz w:val="20"/>
        </w:rPr>
        <w:t>") and governed by the Federal Arbitration Act ("</w:t>
      </w:r>
      <w:r>
        <w:rPr>
          <w:rFonts w:ascii="Arial" w:hAnsi="Arial"/>
          <w:sz w:val="20"/>
          <w:u w:val="single"/>
        </w:rPr>
        <w:t>FAA</w:t>
      </w:r>
      <w:r>
        <w:rPr>
          <w:rFonts w:ascii="Arial" w:hAnsi="Arial"/>
          <w:sz w:val="20"/>
        </w:rPr>
        <w:t>"). 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and whether such damages may be available under the laws of any Canadian Province for those Transactions in which the Delivery Point is located in Canada.    The arbitration shall be conducted in Houston, Texas and such arbitration, and any related award shall be considered confidential and subject to the confidentiality requirements applicable to this GTC.</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11. Confidentiality</w:t>
      </w:r>
      <w:r>
        <w:rPr>
          <w:rFonts w:ascii="Arial" w:hAnsi="Arial"/>
          <w:sz w:val="20"/>
        </w:rPr>
        <w:t xml:space="preserve">.    The contents of the Transactions and all other documents relating to this GTC, if any, and any information made available by a party </w:t>
      </w:r>
      <w:r>
        <w:rPr>
          <w:rFonts w:ascii="Arial" w:hAnsi="Arial"/>
          <w:b/>
          <w:sz w:val="20"/>
        </w:rPr>
        <w:t>[or any guarantor of a party]</w:t>
      </w:r>
      <w:r>
        <w:rPr>
          <w:rFonts w:ascii="Arial" w:hAnsi="Arial"/>
          <w:sz w:val="20"/>
        </w:rPr>
        <w:t xml:space="preserve">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12.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13.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sz w:val="20"/>
        </w:rPr>
      </w:pPr>
      <w:r>
        <w:rPr>
          <w:rFonts w:ascii="Arial" w:hAnsi="Arial"/>
          <w:b/>
          <w:color w:val="000000"/>
          <w:sz w:val="20"/>
          <w:u w:val="single"/>
        </w:rPr>
        <w:t>14. Governing Law</w:t>
      </w:r>
      <w:r>
        <w:rPr>
          <w:rFonts w:ascii="Arial" w:hAnsi="Arial"/>
          <w:color w:val="000000"/>
          <w:sz w:val="20"/>
        </w:rPr>
        <w:t xml:space="preserve">.    </w:t>
      </w:r>
      <w:r>
        <w:rPr>
          <w:rFonts w:ascii="Arial" w:hAnsi="Arial"/>
          <w:sz w:val="20"/>
        </w:rPr>
        <w:t>For those Transactions in which the Delivery Point(s) are located in Canada, such Transactions and the rights and duties of the parties arising therefrom shall be governed by, interpreted and construed in accordance with the laws of the Province of Alberta (excluding conflict of laws principles).    For those Transactions in which the Delivery Point(s) are not located in Canada, such Transactions and the rights and duties of the parties arising therefrom shall be governed by, interpreted and construed in accordance with the laws of the State of Texas (excluding conflict of laws principles).</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15. Representations and Other Matters</w:t>
      </w:r>
      <w:r>
        <w:rPr>
          <w:rFonts w:ascii="Arial" w:hAnsi="Arial"/>
          <w:color w:val="000000"/>
          <w:sz w:val="20"/>
        </w:rPr>
        <w:t xml:space="preserve">.    </w:t>
      </w:r>
      <w:r>
        <w:rPr>
          <w:rFonts w:ascii="Arial" w:hAnsi="Arial"/>
          <w:sz w:val="20"/>
        </w:rPr>
        <w:t xml:space="preserve">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w:t>
      </w:r>
      <w:r>
        <w:rPr>
          <w:rFonts w:ascii="Arial" w:hAnsi="Arial"/>
          <w:strike/>
          <w:sz w:val="20"/>
        </w:rPr>
        <w:t>{against it}</w:t>
      </w:r>
      <w:r>
        <w:rPr>
          <w:rFonts w:ascii="Arial" w:hAnsi="Arial"/>
          <w:sz w:val="20"/>
        </w:rPr>
        <w:t xml:space="preserve"> of this GTC, any Transaction, or </w:t>
      </w:r>
      <w:r>
        <w:rPr>
          <w:rFonts w:ascii="Arial" w:hAnsi="Arial"/>
          <w:strike/>
          <w:sz w:val="20"/>
        </w:rPr>
        <w:t>{its ability to perform its}</w:t>
      </w:r>
      <w:r>
        <w:rPr>
          <w:rFonts w:ascii="Arial" w:hAnsi="Arial"/>
          <w:sz w:val="20"/>
        </w:rPr>
        <w:t xml:space="preserve"> </w:t>
      </w:r>
      <w:r>
        <w:rPr>
          <w:rFonts w:ascii="Arial" w:hAnsi="Arial"/>
          <w:b/>
          <w:sz w:val="20"/>
        </w:rPr>
        <w:t xml:space="preserve">[any guaranty or other credit support arrangement provided pursuant to </w:t>
      </w:r>
      <w:r>
        <w:rPr>
          <w:rFonts w:ascii="Arial" w:hAnsi="Arial"/>
          <w:b/>
          <w:sz w:val="20"/>
          <w:u w:val="single"/>
        </w:rPr>
        <w:t>Section 16</w:t>
      </w:r>
      <w:r>
        <w:rPr>
          <w:rFonts w:ascii="Arial" w:hAnsi="Arial"/>
          <w:sz w:val="20"/>
        </w:rPr>
        <w:t xml:space="preserve"> </w:t>
      </w:r>
      <w:r>
        <w:rPr>
          <w:rFonts w:ascii="Arial" w:hAnsi="Arial"/>
          <w:b/>
          <w:sz w:val="20"/>
        </w:rPr>
        <w:t>or the ability to perform the]</w:t>
      </w:r>
      <w:r>
        <w:rPr>
          <w:rFonts w:ascii="Arial" w:hAnsi="Arial"/>
          <w:sz w:val="20"/>
        </w:rPr>
        <w:t xml:space="preserve"> obligations thereunder. 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w:t>
      </w:r>
      <w:r>
        <w:rPr>
          <w:rFonts w:ascii="Arial" w:hAnsi="Arial"/>
          <w:strike/>
          <w:sz w:val="20"/>
        </w:rPr>
        <w:t>{and}</w:t>
      </w:r>
      <w:r>
        <w:rPr>
          <w:rFonts w:ascii="Arial" w:hAnsi="Arial"/>
          <w:sz w:val="20"/>
        </w:rPr>
        <w:t>(iii) such assignment shall not relieve the assigning party any of its obligations thereunder</w:t>
      </w:r>
      <w:r>
        <w:rPr>
          <w:rFonts w:ascii="Arial" w:hAnsi="Arial"/>
          <w:b/>
          <w:sz w:val="20"/>
        </w:rPr>
        <w:t xml:space="preserve">[, and (iv) any guaranty or other credit support arrangement provided pursuant to </w:t>
      </w:r>
      <w:r>
        <w:rPr>
          <w:rFonts w:ascii="Arial" w:hAnsi="Arial"/>
          <w:b/>
          <w:sz w:val="20"/>
          <w:u w:val="single"/>
        </w:rPr>
        <w:t>Section 16</w:t>
      </w:r>
      <w:r>
        <w:rPr>
          <w:rFonts w:ascii="Arial" w:hAnsi="Arial"/>
          <w:sz w:val="20"/>
        </w:rPr>
        <w:t xml:space="preserve"> </w:t>
      </w:r>
      <w:r>
        <w:rPr>
          <w:rFonts w:ascii="Arial" w:hAnsi="Arial"/>
          <w:b/>
          <w:sz w:val="20"/>
        </w:rPr>
        <w:t>continues to extend to the performance of the Affiliate assignee]</w:t>
      </w:r>
      <w:r>
        <w:rPr>
          <w:rFonts w:ascii="Arial" w:hAnsi="Arial"/>
          <w:sz w:val="20"/>
        </w:rPr>
        <w:t>. 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[16.    Credit Support Arrangements</w:t>
      </w:r>
      <w:r>
        <w:rPr>
          <w:rFonts w:ascii="Arial" w:hAnsi="Arial"/>
          <w:b/>
          <w:sz w:val="20"/>
        </w:rPr>
        <w:t>.    At the request of Company from time to time and at the option of Company, counterparty shall provide either of the following credit support arrangements within three Business Days of such request:    (i) a letter of credit in respect of counterparty's obligations under any Transaction in a form, for an amount and from an issuer, in each case, as is acceptable to Company in its commercially reasonable discretion, or (ii) a guaranty covering counterparty's obligations under any Transaction in a form, for an amount and from a person or entity, in each case, as is acceptable to Company in its commercially reasonable discretion.]</w:t>
      </w:r>
      <w:r>
        <w:rPr>
          <w:rFonts w:ascii="Arial" w:hAnsi="Arial"/>
          <w:sz w:val="20"/>
        </w:rPr>
        <w:t xml:space="preserve"> </w:t>
      </w:r>
    </w:p>
    <w:p>
      <w:pPr>
        <w:pStyle w:val="Normal"/>
        <w:bidi w:val="0"/>
        <w:jc w:val="both"/>
        <w:rPr>
          <w:rFonts w:ascii="Arial" w:hAnsi="Arial"/>
          <w:sz w:val="20"/>
        </w:rPr>
      </w:pPr>
      <w:r>
        <w:rPr>
          <w:rFonts w:ascii="Arial" w:hAnsi="Arial"/>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[1:10 1:10] Changed</w:t>
        <w:tab/>
        <w:t>"hereunder if" to "hereunder,    ...    each case if"</w:t>
      </w:r>
    </w:p>
    <w:p>
      <w:pPr>
        <w:pStyle w:val="Normal"/>
        <w:bidi w:val="0"/>
        <w:spacing w:lineRule="atLeast" w:line="240"/>
        <w:jc w:val="start"/>
        <w:rPr>
          <w:rFonts w:ascii="Times New Roman" w:hAnsi="Times New Roman"/>
        </w:rPr>
      </w:pPr>
      <w:r>
        <w:rPr>
          <w:rFonts w:ascii="Times New Roman" w:hAnsi="Times New Roman"/>
        </w:rPr>
        <w:t>[1:10 1:10] Changed</w:t>
        <w:tab/>
        <w:t>"obligation to make payment " to "covenants    ...    (i) above "</w:t>
      </w:r>
    </w:p>
    <w:p>
      <w:pPr>
        <w:pStyle w:val="Normal"/>
        <w:bidi w:val="0"/>
        <w:spacing w:lineRule="atLeast" w:line="240"/>
        <w:jc w:val="start"/>
        <w:rPr>
          <w:rFonts w:ascii="Times New Roman" w:hAnsi="Times New Roman"/>
        </w:rPr>
      </w:pPr>
      <w:r>
        <w:rPr>
          <w:rFonts w:ascii="Times New Roman" w:hAnsi="Times New Roman"/>
        </w:rPr>
        <w:t>[1:10 1:10] Changed</w:t>
        <w:tab/>
        <w:t>"Default"); or (vii)" to "Default"); (vii)"</w:t>
      </w:r>
    </w:p>
    <w:p>
      <w:pPr>
        <w:pStyle w:val="Normal"/>
        <w:bidi w:val="0"/>
        <w:spacing w:lineRule="atLeast" w:line="240"/>
        <w:jc w:val="start"/>
        <w:rPr>
          <w:rFonts w:ascii="Times New Roman" w:hAnsi="Times New Roman"/>
        </w:rPr>
      </w:pPr>
      <w:r>
        <w:rPr>
          <w:rFonts w:ascii="Times New Roman" w:hAnsi="Times New Roman"/>
        </w:rPr>
        <w:t>[1:10 1:10] Changed</w:t>
        <w:tab/>
        <w:t>"gas." to "gas; (viii)    ...    replaced."</w:t>
      </w:r>
    </w:p>
    <w:p>
      <w:pPr>
        <w:pStyle w:val="Normal"/>
        <w:bidi w:val="0"/>
        <w:spacing w:lineRule="atLeast" w:line="240"/>
        <w:jc w:val="start"/>
        <w:rPr>
          <w:rFonts w:ascii="Times New Roman" w:hAnsi="Times New Roman"/>
        </w:rPr>
      </w:pPr>
      <w:r>
        <w:rPr>
          <w:rFonts w:ascii="Times New Roman" w:hAnsi="Times New Roman"/>
        </w:rPr>
        <w:t>[1:22 1:22] Changed</w:t>
        <w:tab/>
        <w:t>"party to" to "party or any    ...    a party to"</w:t>
      </w:r>
    </w:p>
    <w:p>
      <w:pPr>
        <w:pStyle w:val="Normal"/>
        <w:bidi w:val="0"/>
        <w:spacing w:lineRule="atLeast" w:line="240"/>
        <w:jc w:val="start"/>
        <w:rPr>
          <w:rFonts w:ascii="Times New Roman" w:hAnsi="Times New Roman"/>
        </w:rPr>
      </w:pPr>
      <w:r>
        <w:rPr>
          <w:rFonts w:ascii="Times New Roman" w:hAnsi="Times New Roman"/>
        </w:rPr>
        <w:t>[1:26 1:26] Changed</w:t>
        <w:tab/>
        <w:t>"enforceability against it of" to "enforceability of"</w:t>
      </w:r>
    </w:p>
    <w:p>
      <w:pPr>
        <w:pStyle w:val="Normal"/>
        <w:bidi w:val="0"/>
        <w:spacing w:lineRule="atLeast" w:line="240"/>
        <w:jc w:val="start"/>
        <w:rPr>
          <w:rFonts w:ascii="Times New Roman" w:hAnsi="Times New Roman"/>
        </w:rPr>
      </w:pPr>
      <w:r>
        <w:rPr>
          <w:rFonts w:ascii="Times New Roman" w:hAnsi="Times New Roman"/>
        </w:rPr>
        <w:t>[1:26 1:26] Changed</w:t>
        <w:tab/>
        <w:t>"its ability to perform its " to "any guaranty    ...    perform the "</w:t>
      </w:r>
    </w:p>
    <w:p>
      <w:pPr>
        <w:pStyle w:val="Normal"/>
        <w:bidi w:val="0"/>
        <w:spacing w:lineRule="atLeast" w:line="240"/>
        <w:jc w:val="start"/>
        <w:rPr>
          <w:rFonts w:ascii="Times New Roman" w:hAnsi="Times New Roman"/>
        </w:rPr>
      </w:pPr>
      <w:r>
        <w:rPr>
          <w:rFonts w:ascii="Times New Roman" w:hAnsi="Times New Roman"/>
        </w:rPr>
        <w:t>[1:26 1:26] Changed</w:t>
        <w:tab/>
        <w:t>"thereof, and (iii)" to "thereof, (iii)"</w:t>
      </w:r>
    </w:p>
    <w:p>
      <w:pPr>
        <w:pStyle w:val="Normal"/>
        <w:bidi w:val="0"/>
        <w:spacing w:lineRule="atLeast" w:line="240"/>
        <w:jc w:val="start"/>
        <w:rPr>
          <w:rFonts w:ascii="Times New Roman" w:hAnsi="Times New Roman"/>
        </w:rPr>
      </w:pPr>
      <w:r>
        <w:rPr>
          <w:rFonts w:ascii="Times New Roman" w:hAnsi="Times New Roman"/>
        </w:rPr>
        <w:t>[1:26 1:26] Changed</w:t>
        <w:tab/>
        <w:t>"obligations thereunder. Any" to "obligations    ...    assignee. Any"</w:t>
      </w:r>
    </w:p>
    <w:p>
      <w:pPr>
        <w:pStyle w:val="Normal"/>
        <w:bidi w:val="0"/>
        <w:spacing w:lineRule="atLeast" w:line="240"/>
        <w:jc w:val="start"/>
        <w:rPr>
          <w:rFonts w:ascii="Times New Roman" w:hAnsi="Times New Roman"/>
        </w:rPr>
      </w:pPr>
      <w:r>
        <w:rPr>
          <w:rFonts w:ascii="Times New Roman" w:hAnsi="Times New Roman"/>
        </w:rPr>
        <w:t>[1:26 1:27] Add Para</w:t>
        <w:tab/>
        <w:t>"16. Credit Support    ...    reasonable discretion. "</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8"/>
      </w:rPr>
    </w:pPr>
    <w:r>
      <w:rPr>
        <w:rFonts w:ascii="Arial" w:hAnsi="Arial"/>
        <w:sz w:val="18"/>
      </w:rPr>
      <w:t>Firm Gas GTC Collateral Support January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8"/>
      </w:rPr>
    </w:pPr>
    <w:r>
      <w:rPr>
        <w:rFonts w:ascii="Arial" w:hAnsi="Arial"/>
        <w:sz w:val="18"/>
      </w:rPr>
      <w:t>Firm Gas GTC Collateral Support January 2000</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5158</Words>
  <CharactersWithSpaces>29404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2002-01-10T12:42:00Z</dcterms:created>
  <dc:creator>sdickso</dc:creator>
  <dc:description/>
  <dc:language>en-CA</dc:language>
  <cp:lastModifiedBy/>
  <cp:lastPrinted>2002-01-10T12:41:00Z</cp:lastPrinted>
  <dcterms:modified xsi:type="dcterms:W3CDTF">2002-01-11T13:10:00Z</dcterms:modified>
  <cp:revision>18</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