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 COLLATERAL SUPPORT C.DOC</w:t>
      </w:r>
    </w:p>
    <w:p>
      <w:pPr>
        <w:pStyle w:val="Normal"/>
        <w:bidi w:val="0"/>
        <w:jc w:val="start"/>
        <w:rPr/>
      </w:pPr>
      <w:r>
        <w:rPr/>
        <w:t>and revised document: O:\LEGAL\MCOOK\FORMS\FIRM GAS GTC COLLATERAL SUPPORT D.DOC</w:t>
      </w:r>
    </w:p>
    <w:p>
      <w:pPr>
        <w:pStyle w:val="Normal"/>
        <w:bidi w:val="0"/>
        <w:jc w:val="start"/>
        <w:rPr/>
      </w:pPr>
      <w:r>
        <w:rPr/>
      </w:r>
    </w:p>
    <w:p>
      <w:pPr>
        <w:pStyle w:val="Normal"/>
        <w:bidi w:val="0"/>
        <w:jc w:val="start"/>
        <w:rPr/>
      </w:pPr>
      <w:r>
        <w:rPr/>
        <w:t>CompareRite found      11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Narrow" w:hAnsi="Arial Narrow"/>
          <w:b/>
        </w:rPr>
      </w:pPr>
      <w:r>
        <w:rPr>
          <w:rFonts w:ascii="Arial Narrow" w:hAnsi="Arial Narrow"/>
          <w:b/>
        </w:rPr>
        <w:t>FIRM GAS GENERAL TERMS &amp; CONDITIONS (ONLINE) ("GTC")</w:t>
      </w:r>
    </w:p>
    <w:p>
      <w:pPr>
        <w:pStyle w:val="Normal"/>
        <w:bidi w:val="0"/>
        <w:jc w:val="center"/>
        <w:rPr>
          <w:rFonts w:ascii="Arial Narrow" w:hAnsi="Arial Narrow"/>
          <w:b/>
          <w:sz w:val="20"/>
        </w:rPr>
      </w:pPr>
      <w:r>
        <w:rPr>
          <w:rFonts w:ascii="Arial Narrow" w:hAnsi="Arial Narrow"/>
          <w:b/>
          <w:sz w:val="20"/>
        </w:rPr>
      </w:r>
    </w:p>
    <w:p>
      <w:pPr>
        <w:pStyle w:val="Normal"/>
        <w:tabs>
          <w:tab w:val="clear" w:pos="720"/>
          <w:tab w:val="left" w:pos="360" w:leader="none"/>
        </w:tabs>
        <w:bidi w:val="0"/>
        <w:jc w:val="both"/>
        <w:rPr>
          <w:rFonts w:ascii="Arial Narrow" w:hAnsi="Arial Narrow"/>
          <w:sz w:val="20"/>
        </w:rPr>
      </w:pPr>
      <w:r>
        <w:rPr>
          <w:rFonts w:ascii="Arial Narrow" w:hAnsi="Arial Narrow"/>
          <w:b/>
          <w:sz w:val="20"/>
          <w:u w:val="single"/>
        </w:rPr>
        <w:t>1. Transactions</w:t>
      </w:r>
      <w:r>
        <w:rPr>
          <w:rFonts w:ascii="Arial Narrow" w:hAnsi="Arial Narrow"/>
          <w:sz w:val="20"/>
        </w:rPr>
        <w:t>.    UBS AG, a bank organized under the laws of Switzerland ("</w:t>
      </w:r>
      <w:r>
        <w:rPr>
          <w:rFonts w:ascii="Arial Narrow" w:hAnsi="Arial Narrow"/>
          <w:sz w:val="20"/>
          <w:u w:val="single"/>
        </w:rPr>
        <w:t>UBS</w:t>
      </w:r>
      <w:r>
        <w:rPr>
          <w:rFonts w:ascii="Arial Narrow" w:hAnsi="Arial Narrow"/>
          <w:sz w:val="20"/>
        </w:rPr>
        <w:t>"), and counterparty from time to time may engage in transactions pursuant to this GTC and the terms set forth in the internet-based electronic trading facility established by UBS referencing this GTC (the "</w:t>
      </w:r>
      <w:r>
        <w:rPr>
          <w:rFonts w:ascii="Arial Narrow" w:hAnsi="Arial Narrow"/>
          <w:sz w:val="20"/>
          <w:u w:val="single"/>
        </w:rPr>
        <w:t>Website</w:t>
      </w:r>
      <w:r>
        <w:rPr>
          <w:rFonts w:ascii="Arial Narrow" w:hAnsi="Arial Narrow"/>
          <w:sz w:val="20"/>
        </w:rPr>
        <w:t>") submitted by counterparty and accepted by UBS (each a "</w:t>
      </w:r>
      <w:r>
        <w:rPr>
          <w:rFonts w:ascii="Arial Narrow" w:hAnsi="Arial Narrow"/>
          <w:sz w:val="20"/>
          <w:u w:val="single"/>
        </w:rPr>
        <w:t>Transaction</w:t>
      </w:r>
      <w:r>
        <w:rPr>
          <w:rFonts w:ascii="Arial Narrow" w:hAnsi="Arial Narrow"/>
          <w:sz w:val="20"/>
        </w:rPr>
        <w:t>" and collectively, the "</w:t>
      </w:r>
      <w:r>
        <w:rPr>
          <w:rFonts w:ascii="Arial Narrow" w:hAnsi="Arial Narrow"/>
          <w:sz w:val="20"/>
          <w:u w:val="single"/>
        </w:rPr>
        <w:t>Transactions</w:t>
      </w:r>
      <w:r>
        <w:rPr>
          <w:rFonts w:ascii="Arial Narrow" w:hAnsi="Arial Narrow"/>
          <w:sz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ascii="Arial Narrow" w:hAnsi="Arial Narrow"/>
          <w:sz w:val="20"/>
          <w:u w:val="single"/>
        </w:rPr>
        <w:t>Long Product Definitions</w:t>
      </w:r>
      <w:r>
        <w:rPr>
          <w:rFonts w:ascii="Arial Narrow" w:hAnsi="Arial Narrow"/>
          <w:sz w:val="20"/>
        </w:rPr>
        <w:t xml:space="preserve">"), which Long Product Definitions are incorporated as additional terms of the applicable Transaction.    Definitions applicable to certain capitalized terms herein used are set forth in </w:t>
      </w:r>
      <w:r>
        <w:rPr>
          <w:rFonts w:ascii="Arial Narrow" w:hAnsi="Arial Narrow"/>
          <w:sz w:val="20"/>
          <w:u w:val="single"/>
        </w:rPr>
        <w:t>Section 17</w:t>
      </w:r>
      <w:r>
        <w:rPr>
          <w:rFonts w:ascii="Arial Narrow" w:hAnsi="Arial Narrow"/>
          <w:sz w:val="20"/>
        </w:rPr>
        <w:t>. 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together with the Long Product Definitions) and this GTC or any master agreement that may govern the Transaction as set forth in the preceding sentence, the terms of the Transaction shall govern.    In entering into this Transaction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2. Quantity Obligations, Liquidated Damages and Transaction Termination</w:t>
      </w:r>
      <w:r>
        <w:rPr>
          <w:rFonts w:ascii="Arial Narrow" w:hAnsi="Arial Narrow"/>
          <w:sz w:val="20"/>
        </w:rPr>
        <w:t xml:space="preserve">.    The </w:t>
      </w:r>
      <w:r>
        <w:rPr>
          <w:rFonts w:ascii="Arial Narrow" w:hAnsi="Arial Narrow"/>
          <w:b/>
          <w:sz w:val="20"/>
        </w:rPr>
        <w:t>Daily Contract Quantity</w:t>
      </w:r>
      <w:r>
        <w:rPr>
          <w:rFonts w:ascii="Arial Narrow" w:hAnsi="Arial Narrow"/>
          <w:sz w:val="20"/>
        </w:rPr>
        <w:t xml:space="preserve"> </w:t>
      </w:r>
      <w:r>
        <w:rPr>
          <w:rFonts w:ascii="Arial Narrow" w:hAnsi="Arial Narrow"/>
          <w:i/>
          <w:sz w:val="20"/>
        </w:rPr>
        <w:t xml:space="preserve">(Volume) </w:t>
      </w:r>
      <w:r>
        <w:rPr>
          <w:rFonts w:ascii="Arial Narrow" w:hAnsi="Arial Narrow"/>
          <w:sz w:val="20"/>
        </w:rPr>
        <w:t xml:space="preserve">shall be scheduled on a firm basis by </w:t>
      </w:r>
      <w:r>
        <w:rPr>
          <w:rFonts w:ascii="Arial Narrow" w:hAnsi="Arial Narrow"/>
          <w:b/>
          <w:sz w:val="20"/>
        </w:rPr>
        <w:t xml:space="preserve">Seller </w:t>
      </w:r>
      <w:r>
        <w:rPr>
          <w:rFonts w:ascii="Arial Narrow" w:hAnsi="Arial Narrow"/>
          <w:sz w:val="20"/>
        </w:rPr>
        <w:t xml:space="preserve">and </w:t>
      </w:r>
      <w:r>
        <w:rPr>
          <w:rFonts w:ascii="Arial Narrow" w:hAnsi="Arial Narrow"/>
          <w:b/>
          <w:sz w:val="20"/>
        </w:rPr>
        <w:t xml:space="preserve">Buyer </w:t>
      </w:r>
      <w:r>
        <w:rPr>
          <w:rFonts w:ascii="Arial Narrow" w:hAnsi="Arial Narrow"/>
          <w:sz w:val="20"/>
        </w:rPr>
        <w:t xml:space="preserve">at the </w:t>
      </w:r>
      <w:r>
        <w:rPr>
          <w:rFonts w:ascii="Arial Narrow" w:hAnsi="Arial Narrow"/>
          <w:b/>
          <w:sz w:val="20"/>
        </w:rPr>
        <w:t xml:space="preserve">Delivery Point(s) </w:t>
      </w:r>
      <w:r>
        <w:rPr>
          <w:rFonts w:ascii="Arial Narrow" w:hAnsi="Arial Narrow"/>
          <w:i/>
          <w:sz w:val="20"/>
        </w:rPr>
        <w:t>(Location)</w:t>
      </w:r>
      <w:r>
        <w:rPr>
          <w:rFonts w:ascii="Arial Narrow" w:hAnsi="Arial Narrow"/>
          <w:sz w:val="20"/>
        </w:rPr>
        <w:t xml:space="preserve"> during the </w:t>
      </w:r>
      <w:r>
        <w:rPr>
          <w:rFonts w:ascii="Arial Narrow" w:hAnsi="Arial Narrow"/>
          <w:b/>
          <w:sz w:val="20"/>
        </w:rPr>
        <w:t>Period of Delivery</w:t>
      </w:r>
      <w:r>
        <w:rPr>
          <w:rFonts w:ascii="Arial Narrow" w:hAnsi="Arial Narrow"/>
          <w:sz w:val="20"/>
        </w:rPr>
        <w:t xml:space="preserve"> </w:t>
      </w:r>
      <w:r>
        <w:rPr>
          <w:rFonts w:ascii="Arial Narrow" w:hAnsi="Arial Narrow"/>
          <w:i/>
          <w:sz w:val="20"/>
        </w:rPr>
        <w:t>(Reference Period, being the Effective Date through the Termination Date as set forth in the Long Product Definitions)</w:t>
      </w:r>
      <w:r>
        <w:rPr>
          <w:rFonts w:ascii="Arial Narrow" w:hAnsi="Arial Narrow"/>
          <w:sz w:val="20"/>
        </w:rPr>
        <w:t xml:space="preserve"> and at the </w:t>
      </w:r>
      <w:r>
        <w:rPr>
          <w:rFonts w:ascii="Arial Narrow" w:hAnsi="Arial Narrow"/>
          <w:b/>
          <w:sz w:val="20"/>
        </w:rPr>
        <w:t xml:space="preserve">Contract Price </w:t>
      </w:r>
      <w:r>
        <w:rPr>
          <w:rFonts w:ascii="Arial Narrow" w:hAnsi="Arial Narrow"/>
          <w:i/>
          <w:sz w:val="20"/>
        </w:rPr>
        <w:t>(Price)</w:t>
      </w:r>
      <w:r>
        <w:rPr>
          <w:rFonts w:ascii="Arial Narrow" w:hAnsi="Arial Narrow"/>
          <w:b/>
          <w:sz w:val="20"/>
        </w:rPr>
        <w:t xml:space="preserve"> </w:t>
      </w:r>
      <w:r>
        <w:rPr>
          <w:rFonts w:ascii="Arial Narrow" w:hAnsi="Arial Narrow"/>
          <w:sz w:val="20"/>
        </w:rPr>
        <w:t>as such terms are designated in each Transaction (italicized terminology is shown on the Website).    Unless excused by Force Majeure or the other party's failure to perform its obligations hereunder, if on any day a party fails to schedule on a firm basis the Daily Contract Quantity, then such occurrence shall constitute a "</w:t>
      </w:r>
      <w:r>
        <w:rPr>
          <w:rFonts w:ascii="Arial Narrow" w:hAnsi="Arial Narrow"/>
          <w:sz w:val="20"/>
          <w:u w:val="single"/>
        </w:rPr>
        <w:t>Deficiency Breach</w:t>
      </w:r>
      <w:r>
        <w:rPr>
          <w:rFonts w:ascii="Arial Narrow" w:hAnsi="Arial Narrow"/>
          <w:sz w:val="20"/>
        </w:rPr>
        <w:t>" and the "</w:t>
      </w:r>
      <w:r>
        <w:rPr>
          <w:rFonts w:ascii="Arial Narrow" w:hAnsi="Arial Narrow"/>
          <w:sz w:val="20"/>
          <w:u w:val="single"/>
        </w:rPr>
        <w:t>Deficiency Quantity</w:t>
      </w:r>
      <w:r>
        <w:rPr>
          <w:rFonts w:ascii="Arial Narrow" w:hAnsi="Arial Narrow"/>
          <w:sz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ascii="Arial Narrow" w:hAnsi="Arial Narrow"/>
          <w:sz w:val="20"/>
          <w:u w:val="single"/>
        </w:rPr>
        <w:t>Section 2</w:t>
      </w:r>
      <w:r>
        <w:rPr>
          <w:rFonts w:ascii="Arial Narrow" w:hAnsi="Arial Narrow"/>
          <w:sz w:val="20"/>
        </w:rPr>
        <w:t xml:space="preserve"> shall be due and payable within five Business Days following the receipt of a statement therefor, which amounts shall accrue interest at the Interest Rate from the date due until paid.    In addition to the foregoing, if a party fails to schedule the Daily Contract Quantity for a cumulative period of 15 or more days in a 12 month period in any one Transaction unless excused by Force Majeure or the other party's failure to perform its obligations hereunder (a "</w:t>
      </w:r>
      <w:r>
        <w:rPr>
          <w:rFonts w:ascii="Arial Narrow" w:hAnsi="Arial Narrow"/>
          <w:sz w:val="20"/>
          <w:u w:val="single"/>
        </w:rPr>
        <w:t>Major Scheduling Event</w:t>
      </w:r>
      <w:r>
        <w:rPr>
          <w:rFonts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sz w:val="20"/>
        </w:rPr>
        <w:t xml:space="preserve">    </w:t>
      </w:r>
    </w:p>
    <w:p>
      <w:pPr>
        <w:pStyle w:val="Normal"/>
        <w:tabs>
          <w:tab w:val="clear" w:pos="720"/>
          <w:tab w:val="left" w:pos="360" w:leader="none"/>
        </w:tabs>
        <w:bidi w:val="0"/>
        <w:jc w:val="both"/>
        <w:rPr>
          <w:rFonts w:ascii="Arial Narrow" w:hAnsi="Arial Narrow"/>
          <w:sz w:val="20"/>
        </w:rPr>
      </w:pPr>
      <w:r>
        <w:rPr>
          <w:rFonts w:ascii="Arial Narrow" w:hAnsi="Arial Narrow"/>
          <w:b/>
          <w:sz w:val="20"/>
          <w:u w:val="single"/>
        </w:rPr>
        <w:t>3. Events of Default and Early Termination</w:t>
      </w:r>
      <w:r>
        <w:rPr>
          <w:rFonts w:ascii="Arial Narrow" w:hAnsi="Arial Narrow"/>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ascii="Arial Narrow" w:hAnsi="Arial Narrow"/>
          <w:sz w:val="20"/>
          <w:u w:val="single"/>
        </w:rPr>
        <w:t>Early Termination Date</w:t>
      </w:r>
      <w:r>
        <w:rPr>
          <w:rFonts w:ascii="Arial Narrow" w:hAnsi="Arial Narrow"/>
          <w:sz w:val="20"/>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ascii="Arial Narrow" w:hAnsi="Arial Narrow"/>
          <w:sz w:val="20"/>
          <w:u w:val="single"/>
        </w:rPr>
        <w:t>Termination Payment</w:t>
      </w:r>
      <w:r>
        <w:rPr>
          <w:rFonts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ascii="Arial Narrow" w:hAnsi="Arial Narrow"/>
          <w:sz w:val="20"/>
          <w:u w:val="single"/>
        </w:rPr>
        <w:t>Section 5</w:t>
      </w:r>
      <w:r>
        <w:rPr>
          <w:rFonts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bidi w:val="0"/>
        <w:jc w:val="both"/>
        <w:rPr>
          <w:rFonts w:ascii="Arial Narrow" w:hAnsi="Arial Narrow"/>
          <w:sz w:val="20"/>
        </w:rPr>
      </w:pP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b/>
          <w:sz w:val="20"/>
          <w:u w:val="single"/>
        </w:rPr>
        <w:t>4. Force Majeure</w:t>
      </w:r>
      <w:r>
        <w:rPr>
          <w:rFonts w:ascii="Arial Narrow" w:hAnsi="Arial Narrow"/>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Narrow" w:hAnsi="Arial Narrow"/>
          <w:sz w:val="20"/>
          <w:u w:val="single"/>
        </w:rPr>
        <w:t>Claiming Party</w:t>
      </w:r>
      <w:r>
        <w:rPr>
          <w:rFonts w:ascii="Arial Narrow" w:hAnsi="Arial Narrow"/>
          <w:sz w:val="20"/>
        </w:rPr>
        <w:t xml:space="preserve">").    No provision herein shall require or permit either party to schedule gas in excess of the Daily Contract Quantity or at points other than the Delivery Point(s).    The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bidi w:val="0"/>
        <w:jc w:val="both"/>
        <w:rPr>
          <w:rFonts w:ascii="Arial Narrow" w:hAnsi="Arial Narrow"/>
          <w:b/>
          <w:sz w:val="20"/>
        </w:rPr>
      </w:pPr>
      <w:r>
        <w:rPr>
          <w:rFonts w:ascii="Arial Narrow" w:hAnsi="Arial Narrow"/>
          <w:b/>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5. Setoff</w:t>
      </w:r>
      <w:r>
        <w:rPr>
          <w:rFonts w:ascii="Arial Narrow" w:hAnsi="Arial Narrow"/>
          <w:sz w:val="20"/>
        </w:rPr>
        <w:t>.    Upon the designation of an Early Termination Date, the non-defaulting party ("</w:t>
      </w:r>
      <w:r>
        <w:rPr>
          <w:rFonts w:ascii="Arial Narrow" w:hAnsi="Arial Narrow"/>
          <w:sz w:val="20"/>
          <w:u w:val="single"/>
        </w:rPr>
        <w:t>X</w:t>
      </w:r>
      <w:r>
        <w:rPr>
          <w:rFonts w:ascii="Arial Narrow" w:hAnsi="Arial Narrow"/>
          <w:sz w:val="20"/>
        </w:rPr>
        <w:t>") may, at its option and in its discretion, setoff, against any amounts Owed to the Defaulting Party ("</w:t>
      </w:r>
      <w:r>
        <w:rPr>
          <w:rFonts w:ascii="Arial Narrow" w:hAnsi="Arial Narrow"/>
          <w:sz w:val="20"/>
          <w:u w:val="single"/>
        </w:rPr>
        <w:t>Y</w:t>
      </w:r>
      <w:r>
        <w:rPr>
          <w:rFonts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Narrow" w:hAnsi="Arial Narrow"/>
          <w:sz w:val="20"/>
          <w:u w:val="single"/>
        </w:rPr>
        <w:t>Section 5</w:t>
      </w:r>
      <w:r>
        <w:rPr>
          <w:rFonts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ascii="Arial Narrow" w:hAnsi="Arial Narrow"/>
          <w:sz w:val="20"/>
          <w:u w:val="single"/>
        </w:rPr>
        <w:t>Section 5</w:t>
      </w:r>
      <w:r>
        <w:rPr>
          <w:rFonts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Narrow" w:hAnsi="Arial Narrow"/>
          <w:sz w:val="20"/>
          <w:u w:val="single"/>
        </w:rPr>
        <w:t>Section 5</w:t>
      </w:r>
      <w:r>
        <w:rPr>
          <w:rFonts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ascii="Arial Narrow" w:hAnsi="Arial Narrow"/>
          <w:sz w:val="20"/>
          <w:u w:val="single"/>
        </w:rPr>
        <w:t>Section 5</w:t>
      </w:r>
      <w:r>
        <w:rPr>
          <w:rFonts w:ascii="Arial Narrow" w:hAnsi="Arial Narrow"/>
          <w:sz w:val="20"/>
        </w:rPr>
        <w:t xml:space="preserve">, as agent on behalf of its Affiliates, which Affiliates shall receive the benefits of this </w:t>
      </w:r>
      <w:r>
        <w:rPr>
          <w:rFonts w:ascii="Arial Narrow" w:hAnsi="Arial Narrow"/>
          <w:sz w:val="20"/>
          <w:u w:val="single"/>
        </w:rPr>
        <w:t>Section 5</w:t>
      </w:r>
      <w:r>
        <w:rPr>
          <w:rFonts w:ascii="Arial Narrow" w:hAnsi="Arial Narrow"/>
          <w:sz w:val="20"/>
        </w:rPr>
        <w:t xml:space="preserve"> and otherwise be bound as if such Affiliates had entered into this GTC as its relates to </w:t>
      </w:r>
      <w:r>
        <w:rPr>
          <w:rFonts w:ascii="Arial Narrow" w:hAnsi="Arial Narrow"/>
          <w:sz w:val="20"/>
          <w:u w:val="single"/>
        </w:rPr>
        <w:t>Section 5</w:t>
      </w:r>
      <w:r>
        <w:rPr>
          <w:rFonts w:ascii="Arial Narrow" w:hAnsi="Arial Narrow"/>
          <w:sz w:val="20"/>
        </w:rPr>
        <w:t xml:space="preserve">.    Notwithstanding any provision to the contrary contained in this GTC, the non-defaulting party shall not be required to pay to the Defaulting Party any amount under </w:t>
      </w:r>
      <w:r>
        <w:rPr>
          <w:rFonts w:ascii="Arial Narrow" w:hAnsi="Arial Narrow"/>
          <w:sz w:val="20"/>
          <w:u w:val="single"/>
        </w:rPr>
        <w:t>Section 5</w:t>
      </w:r>
      <w:r>
        <w:rPr>
          <w:rFonts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bidi w:val="0"/>
        <w:jc w:val="both"/>
        <w:rPr>
          <w:rFonts w:ascii="Arial Narrow" w:hAnsi="Arial Narrow"/>
          <w:sz w:val="20"/>
        </w:rPr>
      </w:pP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b/>
          <w:sz w:val="20"/>
          <w:u w:val="single"/>
        </w:rPr>
        <w:t>6. Payments and Pricing</w:t>
      </w:r>
      <w:r>
        <w:rPr>
          <w:rFonts w:ascii="Arial Narrow" w:hAnsi="Arial Narrow"/>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Narrow" w:hAnsi="Arial Narrow"/>
          <w:sz w:val="20"/>
          <w:u w:val="single"/>
        </w:rPr>
        <w:t>Section 6</w:t>
      </w:r>
      <w:r>
        <w:rPr>
          <w:rFonts w:ascii="Arial Narrow" w:hAnsi="Arial Narrow"/>
          <w:sz w:val="20"/>
        </w:rPr>
        <w:t xml:space="preserve"> are due by the 25th day of the month in which the statement therefor was received (the "</w:t>
      </w:r>
      <w:r>
        <w:rPr>
          <w:rFonts w:ascii="Arial Narrow" w:hAnsi="Arial Narrow"/>
          <w:sz w:val="20"/>
          <w:u w:val="single"/>
        </w:rPr>
        <w:t>Payment Date</w:t>
      </w:r>
      <w:r>
        <w:rPr>
          <w:rFonts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7. Taxes</w:t>
      </w:r>
      <w:r>
        <w:rPr>
          <w:rFonts w:ascii="Arial Narrow" w:hAnsi="Arial Narrow"/>
          <w:sz w:val="20"/>
        </w:rPr>
        <w:t>.</w:t>
      </w:r>
      <w:r>
        <w:rPr>
          <w:rFonts w:ascii="Arial Narrow" w:hAnsi="Arial Narrow"/>
          <w:b/>
          <w:sz w:val="20"/>
        </w:rPr>
        <w:t xml:space="preserve">    </w:t>
      </w:r>
      <w:r>
        <w:rPr>
          <w:rFonts w:ascii="Arial Narrow" w:hAnsi="Arial Narrow"/>
          <w:sz w:val="20"/>
        </w:rPr>
        <w:t xml:space="preserve">The Contract Price includes full reimbursement for, and 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8. Title, Risk of Loss and Indemnity</w:t>
      </w:r>
      <w:r>
        <w:rPr>
          <w:rFonts w:ascii="Arial Narrow" w:hAnsi="Arial Narrow"/>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Narrow" w:hAnsi="Arial Narrow"/>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Narrow" w:hAnsi="Arial Narrow"/>
          <w:sz w:val="20"/>
        </w:rPr>
        <w:t xml:space="preserve">    Title to the gas scheduled hereunder shall pass from Seller to Buyer at the Delivery Point(s). 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9. Operations and Delivery</w:t>
      </w:r>
      <w:r>
        <w:rPr>
          <w:rFonts w:ascii="Arial Narrow" w:hAnsi="Arial Narrow"/>
          <w:sz w:val="20"/>
        </w:rPr>
        <w:t>.</w:t>
      </w:r>
      <w:r>
        <w:rPr>
          <w:rFonts w:ascii="Arial Narrow" w:hAnsi="Arial Narrow"/>
          <w:b/>
          <w:sz w:val="20"/>
        </w:rPr>
        <w:t xml:space="preserve">    </w:t>
      </w:r>
      <w:r>
        <w:rPr>
          <w:rFonts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Narrow" w:hAnsi="Arial Narrow"/>
          <w:sz w:val="20"/>
          <w:u w:val="single"/>
        </w:rPr>
        <w:t>OFO</w:t>
      </w:r>
      <w:r>
        <w:rPr>
          <w:rFonts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Narrow" w:hAnsi="Arial Narrow"/>
          <w:sz w:val="20"/>
        </w:rPr>
      </w:pPr>
      <w:r>
        <w:rPr>
          <w:rFonts w:ascii="Arial Narrow" w:hAnsi="Arial Narrow"/>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10. Relationship Between Parties</w:t>
      </w:r>
      <w:r>
        <w:rPr>
          <w:rFonts w:ascii="Arial Narrow" w:hAnsi="Arial Narrow"/>
          <w:sz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bidi w:val="0"/>
        <w:jc w:val="both"/>
        <w:rPr>
          <w:rFonts w:ascii="Arial Narrow" w:hAnsi="Arial Narrow"/>
          <w:sz w:val="20"/>
        </w:rPr>
      </w:pPr>
      <w:r>
        <w:rPr>
          <w:rFonts w:ascii="Arial Narrow" w:hAnsi="Arial Narrow"/>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11. Confidentiality</w:t>
      </w:r>
      <w:r>
        <w:rPr>
          <w:rFonts w:ascii="Arial Narrow" w:hAnsi="Arial Narrow"/>
          <w:sz w:val="20"/>
        </w:rPr>
        <w:t>.    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w:t>
      </w:r>
      <w:r>
        <w:rPr>
          <w:rFonts w:ascii="Arial Narrow" w:hAnsi="Arial Narrow"/>
          <w:b/>
          <w:sz w:val="20"/>
        </w:rPr>
        <w:t>[, regulatory request]</w:t>
      </w:r>
      <w:r>
        <w:rPr>
          <w:rFonts w:ascii="Arial Narrow" w:hAnsi="Arial Narrow"/>
          <w:sz w:val="20"/>
        </w:rPr>
        <w:t xml:space="preserve">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b/>
          <w:sz w:val="20"/>
        </w:rPr>
      </w:pPr>
      <w:r>
        <w:rPr>
          <w:rFonts w:ascii="Arial Narrow" w:hAnsi="Arial Narrow"/>
          <w:b/>
          <w:sz w:val="20"/>
          <w:u w:val="single"/>
        </w:rPr>
        <w:t>12. Damages</w:t>
      </w:r>
      <w:r>
        <w:rPr>
          <w:rFonts w:ascii="Arial Narrow" w:hAnsi="Arial Narrow"/>
          <w:sz w:val="20"/>
        </w:rPr>
        <w:t xml:space="preserve">.    </w:t>
      </w:r>
      <w:r>
        <w:rPr>
          <w:rFonts w:ascii="Arial Narrow" w:hAnsi="Arial Narrow"/>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Narrow" w:hAnsi="Arial Narrow"/>
          <w:b/>
          <w:sz w:val="20"/>
        </w:rPr>
      </w:pPr>
      <w:r>
        <w:rPr>
          <w:rFonts w:ascii="Arial Narrow" w:hAnsi="Arial Narrow"/>
          <w:b/>
          <w:sz w:val="20"/>
        </w:rPr>
      </w:r>
    </w:p>
    <w:p>
      <w:pPr>
        <w:pStyle w:val="Normal"/>
        <w:bidi w:val="0"/>
        <w:jc w:val="both"/>
        <w:rPr>
          <w:rFonts w:ascii="Arial Narrow" w:hAnsi="Arial Narrow"/>
          <w:color w:val="000000"/>
          <w:sz w:val="20"/>
        </w:rPr>
      </w:pPr>
      <w:r>
        <w:rPr>
          <w:rFonts w:ascii="Arial Narrow" w:hAnsi="Arial Narrow"/>
          <w:b/>
          <w:sz w:val="20"/>
          <w:u w:val="single"/>
        </w:rPr>
        <w:t>13. Securities Representation/Canadian Delivery Point(s)</w:t>
      </w:r>
      <w:r>
        <w:rPr>
          <w:rFonts w:ascii="Arial Narrow" w:hAnsi="Arial Narrow"/>
          <w:sz w:val="20"/>
        </w:rPr>
        <w:t>.</w:t>
      </w:r>
      <w:r>
        <w:rPr>
          <w:rFonts w:ascii="Arial Narrow" w:hAnsi="Arial Narrow"/>
          <w:b/>
          <w:sz w:val="20"/>
        </w:rPr>
        <w:t xml:space="preserve">    </w:t>
      </w:r>
      <w:r>
        <w:rPr>
          <w:rFonts w:ascii="Arial Narrow" w:hAnsi="Arial Narrow"/>
          <w:sz w:val="20"/>
        </w:rPr>
        <w:t>In respect of those Transactions in which the Delivery Point is located in Canada e</w:t>
      </w:r>
      <w:r>
        <w:rPr>
          <w:rFonts w:ascii="Arial Narrow" w:hAnsi="Arial Narrow"/>
          <w:color w:val="000000"/>
          <w:sz w:val="20"/>
        </w:rPr>
        <w:t xml:space="preserve">ach party represents to the other party that </w:t>
      </w:r>
      <w:r>
        <w:rPr>
          <w:rFonts w:ascii="Arial Narrow" w:hAnsi="Arial Narrow"/>
          <w:sz w:val="20"/>
        </w:rPr>
        <w:t xml:space="preserve">(i) the Transaction shall constitute an "OTC Derivative" as defined in the </w:t>
      </w:r>
      <w:r>
        <w:rPr>
          <w:rFonts w:ascii="Arial Narrow" w:hAnsi="Arial Narrow"/>
          <w:i/>
          <w:sz w:val="20"/>
        </w:rPr>
        <w:t>Securities Act</w:t>
      </w:r>
      <w:r>
        <w:rPr>
          <w:rFonts w:ascii="Arial Narrow" w:hAnsi="Arial Narrow"/>
          <w:sz w:val="20"/>
        </w:rPr>
        <w:t xml:space="preserve"> (Alberta) and the </w:t>
      </w:r>
      <w:r>
        <w:rPr>
          <w:rFonts w:ascii="Arial Narrow" w:hAnsi="Arial Narrow"/>
          <w:i/>
          <w:sz w:val="20"/>
        </w:rPr>
        <w:t>Securities Act</w:t>
      </w:r>
      <w:r>
        <w:rPr>
          <w:rFonts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Narrow" w:hAnsi="Arial Narrow"/>
          <w:color w:val="000000"/>
          <w:sz w:val="20"/>
        </w:rPr>
      </w:pPr>
      <w:r>
        <w:rPr>
          <w:rFonts w:ascii="Arial Narrow" w:hAnsi="Arial Narrow"/>
          <w:color w:val="000000"/>
          <w:sz w:val="20"/>
        </w:rPr>
      </w:r>
    </w:p>
    <w:p>
      <w:pPr>
        <w:pStyle w:val="Normal"/>
        <w:bidi w:val="0"/>
        <w:jc w:val="both"/>
        <w:rPr>
          <w:rFonts w:ascii="Arial Narrow" w:hAnsi="Arial Narrow"/>
          <w:b/>
          <w:sz w:val="20"/>
        </w:rPr>
      </w:pPr>
      <w:r>
        <w:rPr>
          <w:rFonts w:ascii="Arial Narrow" w:hAnsi="Arial Narrow"/>
          <w:b/>
          <w:color w:val="000000"/>
          <w:sz w:val="20"/>
          <w:u w:val="single"/>
        </w:rPr>
        <w:t>14. Governing Law</w:t>
      </w:r>
      <w:r>
        <w:rPr>
          <w:rFonts w:ascii="Arial Narrow" w:hAnsi="Arial Narrow"/>
          <w:color w:val="000000"/>
          <w:sz w:val="20"/>
        </w:rPr>
        <w:t xml:space="preserve">.    </w:t>
      </w:r>
      <w:r>
        <w:rPr>
          <w:rFonts w:ascii="Arial Narrow" w:hAnsi="Arial Narrow"/>
          <w:sz w:val="20"/>
        </w:rPr>
        <w:t>This GTC and all Transactions and the rights and duties of the parties arising therefrom shall be governed by, interpreted and construed in accordance with the laws of the State of New York (without reference to choice of law doctrine).    With respect to any suit, action or proceedings relating to this GTC or any Transaction hereunder ("</w:t>
      </w:r>
      <w:r>
        <w:rPr>
          <w:rFonts w:ascii="Arial Narrow" w:hAnsi="Arial Narrow"/>
          <w:sz w:val="20"/>
          <w:u w:val="single"/>
        </w:rPr>
        <w:t>Proceedings</w:t>
      </w:r>
      <w:r>
        <w:rPr>
          <w:rFonts w:ascii="Arial Narrow" w:hAnsi="Arial Narrow"/>
          <w:sz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ascii="Arial Narrow" w:hAnsi="Arial Narrow"/>
          <w:b/>
          <w:sz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Narrow" w:hAnsi="Arial Narrow"/>
          <w:color w:val="000000"/>
          <w:sz w:val="20"/>
        </w:rPr>
      </w:pPr>
      <w:r>
        <w:rPr>
          <w:rFonts w:ascii="Arial Narrow" w:hAnsi="Arial Narrow"/>
          <w:color w:val="000000"/>
          <w:sz w:val="20"/>
        </w:rPr>
      </w:r>
    </w:p>
    <w:p>
      <w:pPr>
        <w:pStyle w:val="Normal"/>
        <w:tabs>
          <w:tab w:val="clear" w:pos="720"/>
          <w:tab w:val="left" w:pos="360" w:leader="none"/>
        </w:tabs>
        <w:bidi w:val="0"/>
        <w:jc w:val="both"/>
        <w:rPr>
          <w:rFonts w:ascii="Arial Narrow" w:hAnsi="Arial Narrow"/>
          <w:sz w:val="20"/>
        </w:rPr>
      </w:pPr>
      <w:r>
        <w:rPr>
          <w:rFonts w:ascii="Arial Narrow" w:hAnsi="Arial Narrow"/>
          <w:b/>
          <w:color w:val="000000"/>
          <w:sz w:val="20"/>
          <w:u w:val="single"/>
        </w:rPr>
        <w:t>15. Representations and Other Matters</w:t>
      </w:r>
      <w:r>
        <w:rPr>
          <w:rFonts w:ascii="Arial Narrow" w:hAnsi="Arial Narrow"/>
          <w:color w:val="000000"/>
          <w:sz w:val="20"/>
        </w:rPr>
        <w:t xml:space="preserve">.    </w:t>
      </w:r>
      <w:r>
        <w:rPr>
          <w:rFonts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rFonts w:ascii="Arial Narrow" w:hAnsi="Arial Narrow"/>
          <w:sz w:val="20"/>
          <w:u w:val="single"/>
        </w:rPr>
        <w:t>Section 16</w:t>
      </w:r>
      <w:r>
        <w:rPr>
          <w:rFonts w:ascii="Arial Narrow" w:hAnsi="Arial Narrow"/>
          <w:sz w:val="20"/>
        </w:rPr>
        <w:t xml:space="preserve">; the execution, delivery and performance of this GTC and each Transaction, including, without limitation, the provision of credit support pursuant to </w:t>
      </w:r>
      <w:r>
        <w:rPr>
          <w:rFonts w:ascii="Arial Narrow" w:hAnsi="Arial Narrow"/>
          <w:sz w:val="20"/>
          <w:u w:val="single"/>
        </w:rPr>
        <w:t>Section 16</w:t>
      </w:r>
      <w:r>
        <w:rPr>
          <w:rFonts w:ascii="Arial Narrow" w:hAnsi="Arial Narrow"/>
          <w:sz w:val="20"/>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w:t>
      </w:r>
      <w:r>
        <w:rPr>
          <w:rFonts w:ascii="Arial Narrow" w:hAnsi="Arial Narrow"/>
          <w:b/>
          <w:sz w:val="20"/>
        </w:rPr>
        <w:t>[and each Transaction hereunder shall constitute a "forward contract" (other than Transactions hereunder with a maturity of two days or less), in each case]</w:t>
      </w:r>
      <w:r>
        <w:rPr>
          <w:rFonts w:ascii="Arial Narrow" w:hAnsi="Arial Narrow"/>
          <w:sz w:val="20"/>
        </w:rPr>
        <w:t xml:space="preserve"> within the meaning of the Code; and there is not pending or, to its knowledge, threatened against it or any guarantor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ascii="Arial Narrow" w:hAnsi="Arial Narrow"/>
          <w:sz w:val="20"/>
          <w:u w:val="single"/>
        </w:rPr>
        <w:t>Section 16</w:t>
      </w:r>
      <w:r>
        <w:rPr>
          <w:rFonts w:ascii="Arial Narrow" w:hAnsi="Arial Narrow"/>
          <w:sz w:val="20"/>
        </w:rPr>
        <w:t xml:space="preserve"> or the ability to perform the obligations thereunder. 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ascii="Arial Narrow" w:hAnsi="Arial Narrow"/>
          <w:sz w:val="20"/>
          <w:u w:val="single"/>
        </w:rPr>
        <w:t>Section 16</w:t>
      </w:r>
      <w:r>
        <w:rPr>
          <w:rFonts w:ascii="Arial Narrow" w:hAnsi="Arial Narrow"/>
          <w:sz w:val="20"/>
        </w:rPr>
        <w:t xml:space="preserve"> continues to extend to the performance of the Affiliate assignee.    Any purported assignment in violation of this provision shall be void and of no force and effect. 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This GTC and each Transaction</w:t>
      </w:r>
      <w:r>
        <w:rPr>
          <w:rFonts w:ascii="Arial Narrow" w:hAnsi="Arial Narrow"/>
          <w:b/>
          <w:sz w:val="20"/>
        </w:rPr>
        <w:t>[, and any confirmation thereof, together with the Long Product Definitions and the Electronic Trading Agreement between the parties,]</w:t>
      </w:r>
      <w:r>
        <w:rPr>
          <w:rFonts w:ascii="Arial Narrow" w:hAnsi="Arial Narrow"/>
          <w:sz w:val="20"/>
        </w:rPr>
        <w:t xml:space="preserve">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ascii="Arial Narrow" w:hAnsi="Arial Narrow"/>
          <w:sz w:val="20"/>
          <w:u w:val="single"/>
        </w:rPr>
        <w:t>Regulatory Event</w:t>
      </w:r>
      <w:r>
        <w:rPr>
          <w:rFonts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16.    Credit Support Arrangements</w:t>
      </w:r>
      <w:r>
        <w:rPr>
          <w:rFonts w:ascii="Arial Narrow" w:hAnsi="Arial Narrow"/>
          <w:sz w:val="20"/>
        </w:rPr>
        <w:t>.    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ascii="Arial Narrow" w:hAnsi="Arial Narrow"/>
          <w:sz w:val="20"/>
          <w:u w:val="single"/>
        </w:rPr>
        <w:t>Rating Level</w:t>
      </w:r>
      <w:r>
        <w:rPr>
          <w:rFonts w:ascii="Arial Narrow" w:hAnsi="Arial Narrow"/>
          <w:sz w:val="20"/>
        </w:rPr>
        <w:t>"), in each case, as is acceptable to UBS in its commercially reasonable discretion (a "</w:t>
      </w:r>
      <w:r>
        <w:rPr>
          <w:rFonts w:ascii="Arial Narrow" w:hAnsi="Arial Narrow"/>
          <w:sz w:val="20"/>
          <w:u w:val="single"/>
        </w:rPr>
        <w:t>Letter of Credit</w:t>
      </w:r>
      <w:r>
        <w:rPr>
          <w:rFonts w:ascii="Arial Narrow" w:hAnsi="Arial Narrow"/>
          <w:sz w:val="20"/>
        </w:rPr>
        <w:t xml:space="preserve">"),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GTC </w:t>
      </w:r>
      <w:r>
        <w:rPr>
          <w:rFonts w:ascii="Arial Narrow" w:hAnsi="Arial Narrow"/>
          <w:strike/>
          <w:sz w:val="20"/>
        </w:rPr>
        <w:t>{and to the extent counterparty provides currency or other collateral hereunder or pursuant to the terms of any Transaction,}</w:t>
      </w:r>
      <w:r>
        <w:rPr>
          <w:rFonts w:ascii="Arial Narrow" w:hAnsi="Arial Narrow"/>
          <w:sz w:val="20"/>
        </w:rPr>
        <w:t xml:space="preserve"> counterparty hereby grants to UBS a first-priority, present and continuing security interest in, lien on, right of setoff against, and assignment of, all </w:t>
      </w:r>
      <w:r>
        <w:rPr>
          <w:rFonts w:ascii="Arial Narrow" w:hAnsi="Arial Narrow"/>
          <w:strike/>
          <w:sz w:val="20"/>
        </w:rPr>
        <w:t>{such}</w:t>
      </w:r>
      <w:r>
        <w:rPr>
          <w:rFonts w:ascii="Arial Narrow" w:hAnsi="Arial Narrow"/>
          <w:sz w:val="20"/>
        </w:rPr>
        <w:t xml:space="preserve"> currency or other collateral </w:t>
      </w:r>
      <w:r>
        <w:rPr>
          <w:rFonts w:ascii="Arial Narrow" w:hAnsi="Arial Narrow"/>
          <w:b/>
          <w:sz w:val="20"/>
        </w:rPr>
        <w:t>[delivered pursuant to the terms of this GTC or any Transaction]</w:t>
      </w:r>
      <w:r>
        <w:rPr>
          <w:rFonts w:ascii="Arial Narrow" w:hAnsi="Arial Narrow"/>
          <w:sz w:val="20"/>
        </w:rPr>
        <w:t xml:space="preserve"> and any and all proceeds resulting therefrom or the liquidation thereof, whether now or hereafter held by, on behalf of, or for the benefit of, UBS (the "</w:t>
      </w:r>
      <w:r>
        <w:rPr>
          <w:rFonts w:ascii="Arial Narrow" w:hAnsi="Arial Narrow"/>
          <w:sz w:val="20"/>
          <w:u w:val="single"/>
        </w:rPr>
        <w:t>Lien</w:t>
      </w:r>
      <w:r>
        <w:rPr>
          <w:rFonts w:ascii="Arial Narrow" w:hAnsi="Arial Narrow"/>
          <w:sz w:val="20"/>
        </w:rPr>
        <w:t xml:space="preserve">"), and counterparty agrees to take such action as UBS reasonably requires in order to perfect a first-priority Lien favor of UBS.    Upon an Event of Default </w:t>
      </w:r>
      <w:r>
        <w:rPr>
          <w:rFonts w:ascii="Arial Narrow" w:hAnsi="Arial Narrow"/>
          <w:strike/>
          <w:sz w:val="20"/>
        </w:rPr>
        <w:t>{or an Early Termination Date}</w:t>
      </w:r>
      <w:r>
        <w:rPr>
          <w:rFonts w:ascii="Arial Narrow" w:hAnsi="Arial Narrow"/>
          <w:sz w:val="20"/>
        </w:rPr>
        <w:t xml:space="preserve"> wherein UBS is the non-defaulting party </w:t>
      </w:r>
      <w:r>
        <w:rPr>
          <w:rFonts w:ascii="Arial Narrow" w:hAnsi="Arial Narrow"/>
          <w:strike/>
          <w:sz w:val="20"/>
        </w:rPr>
        <w:t>{or the party designating the Early Termination Date}</w:t>
      </w:r>
      <w:r>
        <w:rPr>
          <w:rFonts w:ascii="Arial Narrow" w:hAnsi="Arial Narrow"/>
          <w:sz w:val="20"/>
        </w:rPr>
        <w:t xml:space="preserve">,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17.    Certain Definitions</w:t>
      </w:r>
      <w:r>
        <w:rPr>
          <w:rFonts w:ascii="Arial Narrow" w:hAnsi="Arial Narrow"/>
          <w:sz w:val="20"/>
        </w:rPr>
        <w:t>.    Certain capitalized terms used in this GTC shall have the following meanings:</w:t>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Affiliate</w:t>
      </w:r>
      <w:r>
        <w:rPr>
          <w:rFonts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Bankruptcy Event</w:t>
      </w:r>
      <w:r>
        <w:rPr>
          <w:rFonts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Business Day</w:t>
      </w:r>
      <w:r>
        <w:rPr>
          <w:rFonts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Code</w:t>
      </w:r>
      <w:r>
        <w:rPr>
          <w:rFonts w:ascii="Arial Narrow" w:hAnsi="Arial Narrow"/>
          <w:sz w:val="20"/>
        </w:rPr>
        <w:t>" means the United States Bankruptcy Code, 11 U.S.C. Secs. 101-1330, as may be amended from time to time.</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Costs</w:t>
      </w:r>
      <w:r>
        <w:rPr>
          <w:rFonts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Event of Default</w:t>
      </w:r>
      <w:r>
        <w:rPr>
          <w:rFonts w:ascii="Arial Narrow" w:hAnsi="Arial Narrow"/>
          <w:sz w:val="20"/>
        </w:rPr>
        <w:t>" means with respect to a party (the "</w:t>
      </w:r>
      <w:r>
        <w:rPr>
          <w:rFonts w:ascii="Arial Narrow" w:hAnsi="Arial Narrow"/>
          <w:sz w:val="20"/>
          <w:u w:val="single"/>
        </w:rPr>
        <w:t>Defaulting Party</w:t>
      </w:r>
      <w:r>
        <w:rPr>
          <w:rFonts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w:t>
      </w:r>
      <w:r>
        <w:rPr>
          <w:rFonts w:ascii="Arial Narrow" w:hAnsi="Arial Narrow"/>
          <w:sz w:val="20"/>
          <w:u w:val="single"/>
        </w:rPr>
        <w:t>Section 16</w:t>
      </w:r>
      <w:r>
        <w:rPr>
          <w:rFonts w:ascii="Arial Narrow" w:hAnsi="Arial Narrow"/>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(viii) an event of default occurs (howsoever determined) with respect to the Defaulting Party under any transaction or agreement between UBS and counterparty under any forward contract </w:t>
      </w:r>
      <w:r>
        <w:rPr>
          <w:rFonts w:ascii="Arial Narrow" w:hAnsi="Arial Narrow"/>
          <w:strike/>
          <w:sz w:val="20"/>
        </w:rPr>
        <w:t>{or}</w:t>
      </w:r>
      <w:r>
        <w:rPr>
          <w:rFonts w:ascii="Arial Narrow" w:hAnsi="Arial Narrow"/>
          <w:b/>
          <w:sz w:val="20"/>
        </w:rPr>
        <w:t>[,]</w:t>
      </w:r>
      <w:r>
        <w:rPr>
          <w:rFonts w:ascii="Arial Narrow" w:hAnsi="Arial Narrow"/>
          <w:sz w:val="20"/>
        </w:rPr>
        <w:t xml:space="preserve"> swap agreement </w:t>
      </w:r>
      <w:r>
        <w:rPr>
          <w:rFonts w:ascii="Arial Narrow" w:hAnsi="Arial Narrow"/>
          <w:b/>
          <w:sz w:val="20"/>
        </w:rPr>
        <w:t>[or commodity contract]</w:t>
      </w:r>
      <w:r>
        <w:rPr>
          <w:rFonts w:ascii="Arial Narrow" w:hAnsi="Arial Narrow"/>
          <w:sz w:val="20"/>
        </w:rPr>
        <w:t xml:space="preserve">, in each case as defined in the Code, or any indebtedness for borrowed money, and there occurs a liquidation of, an acceleration of obligations under, or an early termination of, all transactions thereunder or the agreement; (ix) the guarantor of the Defaulting Party fails to perform any covenant set forth in any guaranty agreement provided pursuant to </w:t>
      </w:r>
      <w:r>
        <w:rPr>
          <w:rFonts w:ascii="Arial Narrow" w:hAnsi="Arial Narrow"/>
          <w:sz w:val="20"/>
          <w:u w:val="single"/>
        </w:rPr>
        <w:t>Section 16</w:t>
      </w:r>
      <w:r>
        <w:rPr>
          <w:rFonts w:ascii="Arial Narrow" w:hAnsi="Arial Narrow"/>
          <w:sz w:val="20"/>
        </w:rPr>
        <w:t xml:space="preserve">,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(vi) or (vii) above as applied to it; (x) the issuer of a Letter of Credit (defined in </w:t>
      </w:r>
      <w:r>
        <w:rPr>
          <w:rFonts w:ascii="Arial Narrow" w:hAnsi="Arial Narrow"/>
          <w:sz w:val="20"/>
          <w:u w:val="single"/>
        </w:rPr>
        <w:t>Section 16</w:t>
      </w:r>
      <w:r>
        <w:rPr>
          <w:rFonts w:ascii="Arial Narrow" w:hAnsi="Arial Narrow"/>
          <w:sz w:val="20"/>
        </w:rPr>
        <w:t xml:space="preserve">) provided pursuant to </w:t>
      </w:r>
      <w:r>
        <w:rPr>
          <w:rFonts w:ascii="Arial Narrow" w:hAnsi="Arial Narrow"/>
          <w:sz w:val="20"/>
          <w:u w:val="single"/>
        </w:rPr>
        <w:t>Section 16</w:t>
      </w:r>
      <w:r>
        <w:rPr>
          <w:rFonts w:ascii="Arial Narrow" w:hAnsi="Arial Narrow"/>
          <w:sz w:val="20"/>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or takes or suffers any actions set forth in item (vi) above as applied to it, or such Letter of Credit expires or terminates or fails or ceases to be in full force and effect at any time during the term of the Transaction for which it is issued without having been replaced, or such issuer fails to maintain the Rating Level (defined in </w:t>
      </w:r>
      <w:r>
        <w:rPr>
          <w:rFonts w:ascii="Arial Narrow" w:hAnsi="Arial Narrow"/>
          <w:sz w:val="20"/>
          <w:u w:val="single"/>
        </w:rPr>
        <w:t>Section 16</w:t>
      </w:r>
      <w:r>
        <w:rPr>
          <w:rFonts w:ascii="Arial Narrow" w:hAnsi="Arial Narrow"/>
          <w:sz w:val="20"/>
        </w:rPr>
        <w:t xml:space="preserve">) without the Letter of Credit having been replaced by another issuer satisfactory to UBS; or (xi) an event of default occurs (howsoever determined) with respect to UBS, as Defaulting Party, or counterparty, or guarantor of counterparty, as Defaulting Party (individually or collectively), under any one or more agreements or instruments relating to indebtedness for borrowed money or the payment of money under any forward contract, swap agreement, or </w:t>
      </w:r>
      <w:r>
        <w:rPr>
          <w:rFonts w:ascii="Arial Narrow" w:hAnsi="Arial Narrow"/>
          <w:strike/>
          <w:sz w:val="20"/>
        </w:rPr>
        <w:t>{commodities}</w:t>
      </w:r>
      <w:r>
        <w:rPr>
          <w:rFonts w:ascii="Arial Narrow" w:hAnsi="Arial Narrow"/>
          <w:sz w:val="20"/>
        </w:rPr>
        <w:t xml:space="preserve"> </w:t>
      </w:r>
      <w:r>
        <w:rPr>
          <w:rFonts w:ascii="Arial Narrow" w:hAnsi="Arial Narrow"/>
          <w:b/>
          <w:sz w:val="20"/>
        </w:rPr>
        <w:t>[commodity]</w:t>
      </w:r>
      <w:r>
        <w:rPr>
          <w:rFonts w:ascii="Arial Narrow" w:hAnsi="Arial Narrow"/>
          <w:sz w:val="20"/>
        </w:rPr>
        <w:t xml:space="preserve">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Force Majeure</w:t>
      </w:r>
      <w:r>
        <w:rPr>
          <w:rFonts w:ascii="Arial Narrow" w:hAnsi="Arial Narrow"/>
          <w:sz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Gains</w:t>
      </w:r>
      <w:r>
        <w:rPr>
          <w:rFonts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Interest Rate</w:t>
      </w:r>
      <w:r>
        <w:rPr>
          <w:rFonts w:ascii="Arial Narrow" w:hAnsi="Arial Narrow"/>
          <w:sz w:val="20"/>
        </w:rPr>
        <w:t xml:space="preserve">" means a per annum rate of interest equal to the prime lending rate as may from time to time be published in </w:t>
      </w:r>
      <w:r>
        <w:rPr>
          <w:rFonts w:ascii="Arial Narrow" w:hAnsi="Arial Narrow"/>
          <w:i/>
          <w:sz w:val="20"/>
        </w:rPr>
        <w:t>The Wall Street Journal</w:t>
      </w:r>
      <w:r>
        <w:rPr>
          <w:rFonts w:ascii="Arial Narrow" w:hAnsi="Arial Narrow"/>
          <w:sz w:val="20"/>
        </w:rPr>
        <w:t xml:space="preserve"> under "Money Rates" plus two percent; provided, the Interest Rate may never exceed the maximum lawful rate under applicable law. 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Losses</w:t>
      </w:r>
      <w:r>
        <w:rPr>
          <w:rFonts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Market Disruption Event</w:t>
      </w:r>
      <w:r>
        <w:rPr>
          <w:rFonts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Narrow" w:hAnsi="Arial Narrow"/>
          <w:sz w:val="20"/>
          <w:u w:val="single"/>
        </w:rPr>
        <w:t>Exchange</w:t>
      </w:r>
      <w:r>
        <w:rPr>
          <w:rFonts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Merger Event</w:t>
      </w:r>
      <w:r>
        <w:rPr>
          <w:rFonts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ascii="Arial Narrow" w:hAnsi="Arial Narrow"/>
          <w:sz w:val="20"/>
          <w:u w:val="single"/>
        </w:rPr>
        <w:t>Section 16</w:t>
      </w:r>
      <w:r>
        <w:rPr>
          <w:rFonts w:ascii="Arial Narrow" w:hAnsi="Arial Narrow"/>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Owed</w:t>
      </w:r>
      <w:r>
        <w:rPr>
          <w:rFonts w:ascii="Arial Narrow" w:hAnsi="Arial Narrow"/>
          <w:sz w:val="20"/>
        </w:rPr>
        <w:t xml:space="preserve">" means any amounts owed or otherwise accrued and payable (regardless of whether such amounts have been or could be invoiced) as of the Early Termination Date. 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Replacement Price Differential</w:t>
      </w:r>
      <w:r>
        <w:rPr>
          <w:rFonts w:ascii="Arial Narrow" w:hAnsi="Arial Narrow"/>
          <w:sz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Spot Price</w:t>
      </w:r>
      <w:r>
        <w:rPr>
          <w:rFonts w:ascii="Arial Narrow" w:hAnsi="Arial Narrow"/>
          <w:sz w:val="20"/>
        </w:rPr>
        <w:t xml:space="preserve">" means, subject to </w:t>
      </w:r>
      <w:r>
        <w:rPr>
          <w:rFonts w:ascii="Arial Narrow" w:hAnsi="Arial Narrow"/>
          <w:sz w:val="20"/>
          <w:u w:val="single"/>
        </w:rPr>
        <w:t>Section 6</w:t>
      </w:r>
      <w:r>
        <w:rPr>
          <w:rFonts w:ascii="Arial Narrow" w:hAnsi="Arial Narrow"/>
          <w:sz w:val="20"/>
        </w:rPr>
        <w:t xml:space="preserve">, the "Daily Midpoint" price set forth in </w:t>
      </w:r>
      <w:r>
        <w:rPr>
          <w:rFonts w:ascii="Arial Narrow" w:hAnsi="Arial Narrow"/>
          <w:sz w:val="20"/>
          <w:u w:val="single"/>
        </w:rPr>
        <w:t>Gas Daily</w:t>
      </w:r>
      <w:r>
        <w:rPr>
          <w:rFonts w:ascii="Arial Narrow" w:hAnsi="Arial Narrow"/>
          <w:sz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Taxes</w:t>
      </w:r>
      <w:r>
        <w:rPr>
          <w:rFonts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Threshold Amount</w:t>
      </w:r>
      <w:r>
        <w:rPr>
          <w:rFonts w:ascii="Arial Narrow" w:hAnsi="Arial Narrow"/>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bidi w:val="0"/>
        <w:jc w:val="both"/>
        <w:rPr>
          <w:rFonts w:ascii="Arial Narrow" w:hAnsi="Arial Narrow"/>
          <w:sz w:val="20"/>
        </w:rPr>
      </w:pPr>
      <w:r>
        <w:rPr>
          <w:rFonts w:ascii="Arial Narrow" w:hAnsi="Arial Narrow"/>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[1:12 1:12] Changed</w:t>
        <w:tab/>
        <w:t>"ruling or" to "ruling, regulatory request or"</w:t>
      </w:r>
    </w:p>
    <w:p>
      <w:pPr>
        <w:pStyle w:val="Normal"/>
        <w:bidi w:val="0"/>
        <w:spacing w:lineRule="atLeast" w:line="240"/>
        <w:jc w:val="start"/>
        <w:rPr>
          <w:rFonts w:ascii="Times New Roman" w:hAnsi="Times New Roman"/>
        </w:rPr>
      </w:pPr>
      <w:r>
        <w:rPr>
          <w:rFonts w:ascii="Times New Roman" w:hAnsi="Times New Roman"/>
        </w:rPr>
        <w:t>[1:16 1:16] Changed</w:t>
        <w:tab/>
        <w:t>"merchant" within" to "merchant"    ...    case within"</w:t>
      </w:r>
    </w:p>
    <w:p>
      <w:pPr>
        <w:pStyle w:val="Normal"/>
        <w:bidi w:val="0"/>
        <w:spacing w:lineRule="atLeast" w:line="240"/>
        <w:jc w:val="start"/>
        <w:rPr>
          <w:rFonts w:ascii="Times New Roman" w:hAnsi="Times New Roman"/>
        </w:rPr>
      </w:pPr>
      <w:r>
        <w:rPr>
          <w:rFonts w:ascii="Times New Roman" w:hAnsi="Times New Roman"/>
        </w:rPr>
        <w:t>[1:18 1:18] Changed</w:t>
        <w:tab/>
        <w:t>"Transaction contain" to "Transaction,    ...    parties, contain"</w:t>
      </w:r>
    </w:p>
    <w:p>
      <w:pPr>
        <w:pStyle w:val="Normal"/>
        <w:bidi w:val="0"/>
        <w:spacing w:lineRule="atLeast" w:line="240"/>
        <w:jc w:val="start"/>
        <w:rPr>
          <w:rFonts w:ascii="Times New Roman" w:hAnsi="Times New Roman"/>
        </w:rPr>
      </w:pPr>
      <w:r>
        <w:rPr>
          <w:rFonts w:ascii="Times New Roman" w:hAnsi="Times New Roman"/>
        </w:rPr>
        <w:t>[1:20 1:20] Changed</w:t>
        <w:tab/>
        <w:t>"GTC and to    ...    counterparty" to "GTC counterparty"</w:t>
      </w:r>
    </w:p>
    <w:p>
      <w:pPr>
        <w:pStyle w:val="Normal"/>
        <w:bidi w:val="0"/>
        <w:spacing w:lineRule="atLeast" w:line="240"/>
        <w:jc w:val="start"/>
        <w:rPr>
          <w:rFonts w:ascii="Times New Roman" w:hAnsi="Times New Roman"/>
        </w:rPr>
      </w:pPr>
      <w:r>
        <w:rPr>
          <w:rFonts w:ascii="Times New Roman" w:hAnsi="Times New Roman"/>
        </w:rPr>
        <w:t>[1:20 1:20] Changed</w:t>
        <w:tab/>
        <w:t>"all such currency" to "all currency"</w:t>
      </w:r>
    </w:p>
    <w:p>
      <w:pPr>
        <w:pStyle w:val="Normal"/>
        <w:bidi w:val="0"/>
        <w:spacing w:lineRule="atLeast" w:line="240"/>
        <w:jc w:val="start"/>
        <w:rPr>
          <w:rFonts w:ascii="Times New Roman" w:hAnsi="Times New Roman"/>
        </w:rPr>
      </w:pPr>
      <w:r>
        <w:rPr>
          <w:rFonts w:ascii="Times New Roman" w:hAnsi="Times New Roman"/>
        </w:rPr>
        <w:t>[1:20 1:20] Changed</w:t>
        <w:tab/>
        <w:t>"other collateral and any" to "other collateral    ...    Transaction and any"</w:t>
      </w:r>
    </w:p>
    <w:p>
      <w:pPr>
        <w:pStyle w:val="Normal"/>
        <w:bidi w:val="0"/>
        <w:spacing w:lineRule="atLeast" w:line="240"/>
        <w:jc w:val="start"/>
        <w:rPr>
          <w:rFonts w:ascii="Times New Roman" w:hAnsi="Times New Roman"/>
        </w:rPr>
      </w:pPr>
      <w:r>
        <w:rPr>
          <w:rFonts w:ascii="Times New Roman" w:hAnsi="Times New Roman"/>
        </w:rPr>
        <w:t>[1:20 1:20] Changed</w:t>
        <w:tab/>
        <w:t>"Default or    ...    Date wherein" to "Default wherein"</w:t>
      </w:r>
    </w:p>
    <w:p>
      <w:pPr>
        <w:pStyle w:val="Normal"/>
        <w:bidi w:val="0"/>
        <w:spacing w:lineRule="atLeast" w:line="240"/>
        <w:jc w:val="start"/>
        <w:rPr>
          <w:rFonts w:ascii="Times New Roman" w:hAnsi="Times New Roman"/>
        </w:rPr>
      </w:pPr>
      <w:r>
        <w:rPr>
          <w:rFonts w:ascii="Times New Roman" w:hAnsi="Times New Roman"/>
        </w:rPr>
        <w:t>[1:20 1:20] Changed</w:t>
        <w:tab/>
        <w:t>"party or the    ...    Termination Date," to "party,"</w:t>
      </w:r>
    </w:p>
    <w:p>
      <w:pPr>
        <w:pStyle w:val="Normal"/>
        <w:bidi w:val="0"/>
        <w:spacing w:lineRule="atLeast" w:line="240"/>
        <w:jc w:val="start"/>
        <w:rPr>
          <w:rFonts w:ascii="Times New Roman" w:hAnsi="Times New Roman"/>
        </w:rPr>
      </w:pPr>
      <w:r>
        <w:rPr>
          <w:rFonts w:ascii="Times New Roman" w:hAnsi="Times New Roman"/>
        </w:rPr>
        <w:t>[1:27 1:27] Changed</w:t>
        <w:tab/>
        <w:t>"contract or swap agreement," to "contract,    ...    contract,"</w:t>
      </w:r>
    </w:p>
    <w:p>
      <w:pPr>
        <w:pStyle w:val="Normal"/>
        <w:bidi w:val="0"/>
        <w:spacing w:lineRule="atLeast" w:line="240"/>
        <w:jc w:val="start"/>
        <w:rPr>
          <w:rFonts w:ascii="Times New Roman" w:hAnsi="Times New Roman"/>
        </w:rPr>
      </w:pPr>
      <w:r>
        <w:rPr>
          <w:rFonts w:ascii="Times New Roman" w:hAnsi="Times New Roman"/>
        </w:rPr>
        <w:t>[1:27 1:27] Changed</w:t>
        <w:tab/>
        <w:t>"commodities " to "commodity "</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20"/>
      </w:rPr>
    </w:pP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Pr>
        <w:rStyle w:val="PageNumber"/>
        <w:rFonts w:ascii="Arial Narrow" w:hAnsi="Arial Narrow"/>
      </w:rPr>
      <w:t>11</w:t>
    </w:r>
    <w:r>
      <w:rPr>
        <w:rStyle w:val="PageNumber"/>
        <w:rFonts w:ascii="Arial Narrow" w:hAnsi="Arial Narrow"/>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Narrow" w:hAnsi="Arial Narrow"/>
        <w:sz w:val="18"/>
      </w:rPr>
    </w:pPr>
    <w:r>
      <w:rPr>
        <w:rFonts w:ascii="Arial Narrow" w:hAnsi="Arial Narrow"/>
        <w:sz w:val="18"/>
      </w:rPr>
      <w:t>Firm Gas GTC Collateral Support d January 2002</w:t>
    </w:r>
  </w:p>
  <w:p>
    <w:pPr>
      <w:pStyle w:val="Footer"/>
      <w:bidi w:val="0"/>
      <w:jc w:val="start"/>
      <w:rPr>
        <w:rFonts w:ascii="Arial" w:hAnsi="Arial"/>
        <w:sz w:val="18"/>
      </w:rPr>
    </w:pPr>
    <w:r>
      <w:rPr>
        <w:rFonts w:ascii="Arial" w:hAnsi="Arial"/>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20"/>
      </w:rPr>
    </w:pP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Pr>
        <w:rStyle w:val="PageNumber"/>
        <w:rFonts w:ascii="Arial Narrow" w:hAnsi="Arial Narrow"/>
      </w:rPr>
      <w:t>11</w:t>
    </w:r>
    <w:r>
      <w:rPr>
        <w:rStyle w:val="PageNumber"/>
        <w:rFonts w:ascii="Arial Narrow" w:hAnsi="Arial Narrow"/>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Narrow" w:hAnsi="Arial Narrow"/>
        <w:sz w:val="18"/>
      </w:rPr>
    </w:pPr>
    <w:r>
      <w:rPr>
        <w:rFonts w:ascii="Arial Narrow" w:hAnsi="Arial Narrow"/>
        <w:sz w:val="18"/>
      </w:rPr>
      <w:t>Firm Gas GTC Collateral Support d January 2002</w:t>
    </w:r>
  </w:p>
  <w:p>
    <w:pPr>
      <w:pStyle w:val="Footer"/>
      <w:bidi w:val="0"/>
      <w:jc w:val="start"/>
      <w:rPr>
        <w:rFonts w:ascii="Arial" w:hAnsi="Arial"/>
        <w:sz w:val="18"/>
      </w:rPr>
    </w:pPr>
    <w:r>
      <w:rPr>
        <w:rFonts w:ascii="Arial" w:hAnsi="Arial"/>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6759</Words>
  <CharactersWithSpaces>38529</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2002-02-03T11:17:00Z</dcterms:created>
  <dc:creator>sdickso</dc:creator>
  <dc:description/>
  <dc:language>en-CA</dc:language>
  <cp:lastModifiedBy/>
  <cp:lastPrinted>2002-02-03T11:28:00Z</cp:lastPrinted>
  <dcterms:modified xsi:type="dcterms:W3CDTF">2002-02-03T11:35:00Z</dcterms:modified>
  <cp:revision>13</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