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770"/>
        <w:gridCol w:w="1710"/>
        <w:gridCol w:w="1710"/>
      </w:tblGrid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2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Earnings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Achieve audit clearance for the booking of the gain on a Base Gas sales transaction.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Earnings of at least the NBV of the deal to be booked in 2000.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Complete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Qtr 2000 recognizing full gain.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Qtr. 2000</w:t>
            </w:r>
          </w:p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88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Implement early adoption of FAS 133 for Citrus Trading (Saunders)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Independent auditor acceptance of $46 million pretax Citrus income recognition due to change in accounting for Citrus Trading operations</w:t>
            </w:r>
          </w:p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to comply with management’s interpretation of  FAS133 requirements.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Auditor sign-off complete and will occur in the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Quarter 2000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Qtr. 2000</w:t>
            </w:r>
          </w:p>
        </w:tc>
      </w:tr>
      <w:tr>
        <w:trPr>
          <w:trHeight w:val="188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2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Sunniland (Ballentine):</w:t>
            </w:r>
          </w:p>
          <w:p>
            <w:pPr>
              <w:pStyle w:val="Normal"/>
              <w:numPr>
                <w:ilvl w:val="0"/>
                <w:numId w:val="1"/>
              </w:numPr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definitive Agreement,</w:t>
            </w:r>
          </w:p>
          <w:p>
            <w:pPr>
              <w:pStyle w:val="Normal"/>
              <w:numPr>
                <w:ilvl w:val="0"/>
                <w:numId w:val="1"/>
              </w:numPr>
              <w:spacing w:before="20" w:after="0"/>
              <w:rPr>
                <w:sz w:val="20"/>
              </w:rPr>
            </w:pPr>
            <w:r>
              <w:rPr>
                <w:sz w:val="20"/>
              </w:rPr>
              <w:t>Close Transaction to avoid $6MM write-off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spacing w:before="20" w:after="0"/>
              <w:rPr>
                <w:sz w:val="20"/>
              </w:rPr>
            </w:pPr>
            <w:r>
              <w:rPr>
                <w:sz w:val="20"/>
              </w:rPr>
              <w:t>Date of Signed Agreement</w:t>
            </w:r>
          </w:p>
          <w:p>
            <w:pPr>
              <w:pStyle w:val="Normal"/>
              <w:numPr>
                <w:ilvl w:val="0"/>
                <w:numId w:val="4"/>
              </w:numPr>
              <w:spacing w:before="20" w:after="0"/>
              <w:rPr>
                <w:sz w:val="20"/>
              </w:rPr>
            </w:pPr>
            <w:r>
              <w:rPr>
                <w:sz w:val="20"/>
              </w:rPr>
              <w:t>Receipt of assets to save the recognition of a $6MM loss through bankruptcy.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Qtr 2000</w:t>
            </w:r>
          </w:p>
          <w:p>
            <w:pPr>
              <w:pStyle w:val="Normal"/>
              <w:numPr>
                <w:ilvl w:val="0"/>
                <w:numId w:val="2"/>
              </w:numPr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Qtr 2000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before="20" w:after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Qtr. 2000</w:t>
            </w:r>
          </w:p>
          <w:p>
            <w:pPr>
              <w:pStyle w:val="Normal"/>
              <w:numPr>
                <w:ilvl w:val="0"/>
                <w:numId w:val="3"/>
              </w:numPr>
              <w:spacing w:before="20" w:after="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Qtr.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Develop a structure to allow the recognition of a sale of a NNG asset for a $10 MM gain (Hayslett)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definiton of the structure necessary to allow the gain to be recognized.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in first quarter.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Qtr.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Develop the capability to write-off the remaining Brooker assets with no adverse impact (Geaccone)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Write-off assets while maintaining targets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Qtr.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Reduce the Net MMF charges from corporate so that the amount is essentially flat to 1999 charges. (Hayslett+)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Achieve a $2.5 MM reduction.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On target through 7 months for $2.5 MM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Full year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Assist in the completion of recognition of a gain from the sale of excess undervalued inventory. (Hayslett 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Achieve book recognition of $15MM of earnings.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On target,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Qtr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Develop a plan to reduce Corporate Charges by $2.5MM/yr (Hayslett)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Presentation of plan to management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Completed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Qtr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Execute Plan to reduce corpoarate Charges by $2.5MM/yr  (Hayslett)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Achieve $2.5MM reduction.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On target  thru 7 months for $2.8 MM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Full Year 2000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770"/>
        <w:gridCol w:w="1710"/>
        <w:gridCol w:w="1710"/>
      </w:tblGrid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Put long term borrowing facilities in place supporting Phase IV and</w:t>
            </w:r>
          </w:p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Phase V expansions, Expansion and refinancing at Border and replacement in Tranwestern (Hayslett + 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Completed bank/lender documentation at acceptable amounts and costs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Plan is in place and we are on target for November 1, close. Management decision to delay financing to create an opportunity for AFUDC of $18MM has moved the transaction to a 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Qtr 2000 transaction.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Qtr.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9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transition to new accounting system in 2000 (Saunders)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Use of system for all financial activity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July 2000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Qtr.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Reduce Construction Overheads to be Charged in 2000 on NNG (Hayslett)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Cleaning out of Account in 1999 of about $9.5 MM</w:t>
            </w:r>
          </w:p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February 2000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Qtr.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a Restacking Plan for GPG in the Enron Building (Hayslett)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Plan submitted for review and approval.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Plan reviewed and decision to wait unitl 2001 made.   Currently beginning planning for 2001 restacking.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>Qtr.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Complete a review of the insurance program and make a recommendation to management.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Recommendation submitted for review and approval.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Insurance Program reviewed and recommendation is in process.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Qtr.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Develop a Solution to the problem of the lack of management reporting in SAP.</w:t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Reports in place.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 xml:space="preserve">Nearly complete.   Short term solution is working and am leading an Enron wide project to solve the same problem with expected completion in september of Phase 1.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Qtr 2000</w:t>
            </w:r>
          </w:p>
        </w:tc>
      </w:tr>
      <w:tr>
        <w:trPr>
          <w:trHeight w:val="23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88" w:hRule="atLeast"/>
        </w:trPr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Assist Azurix with development of a restucturing program for Wessex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Participation in process.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" w:after="0"/>
              <w:rPr>
                <w:sz w:val="20"/>
              </w:rPr>
            </w:pPr>
            <w:r>
              <w:rPr>
                <w:sz w:val="20"/>
              </w:rPr>
              <w:t>Participated in the development of term sheets for the operational restucturing of the water company.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20" w:after="0"/>
              <w:rPr/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Qtr 2000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576" w:top="720" w:footer="432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  <w:t>ACCOUNTING/FINANCE/ADMINISTRATION YEAR 2000 KEY OBJECTIVES</w:t>
    </w:r>
  </w:p>
  <w:p>
    <w:pPr>
      <w:pStyle w:val="Header"/>
      <w:jc w:val="center"/>
      <w:rPr>
        <w:b/>
        <w:sz w:val="18"/>
      </w:rPr>
    </w:pPr>
    <w:r>
      <w:rPr>
        <w:b/>
        <w:sz w:val="18"/>
      </w:rPr>
      <w:t xml:space="preserve">August 31, 2000 </w:t>
    </w:r>
  </w:p>
  <w:p>
    <w:pPr>
      <w:pStyle w:val="Header"/>
      <w:rPr>
        <w:rFonts w:eastAsia="Arial"/>
        <w:sz w:val="28"/>
      </w:rPr>
    </w:pPr>
    <w:r>
      <w:rPr>
        <w:rFonts w:eastAsia="Arial"/>
        <w:sz w:val="28"/>
      </w:rPr>
      <w:t xml:space="preserve"> </w:t>
    </w:r>
  </w:p>
  <w:p>
    <w:pPr>
      <w:pStyle w:val="Header"/>
      <w:rPr>
        <w:b/>
      </w:rPr>
    </w:pPr>
    <w:r>
      <w:rPr>
        <w:b/>
      </w:rPr>
      <w:t>Objective                                                                               Metric                                                            Actual               Target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/>
  </w:style>
  <w:style w:type="character" w:styleId="WW8Num53z0">
    <w:name w:val="WW8Num53z0"/>
    <w:qFormat/>
    <w:rPr>
      <w:rFonts w:ascii="Wingdings" w:hAnsi="Wingdings" w:cs="Wingdings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Wingdings" w:hAnsi="Wingdings" w:cs="Wingdings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0z0">
    <w:name w:val="WW8Num60z0"/>
    <w:qFormat/>
    <w:rPr>
      <w:rFonts w:ascii="Wingdings" w:hAnsi="Wingdings" w:cs="Wingdings"/>
    </w:rPr>
  </w:style>
  <w:style w:type="character" w:styleId="WW8Num61z0">
    <w:name w:val="WW8Num61z0"/>
    <w:qFormat/>
    <w:rPr>
      <w:rFonts w:ascii="Symbol" w:hAnsi="Symbol" w:cs="Symbol"/>
      <w:color w:val="auto"/>
    </w:rPr>
  </w:style>
  <w:style w:type="character" w:styleId="WW8Num62z0">
    <w:name w:val="WW8Num62z0"/>
    <w:qFormat/>
    <w:rPr>
      <w:rFonts w:ascii="Wingdings" w:hAnsi="Wingdings" w:cs="Wingdings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20" w:after="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1999-11-22T09:29:00Z</dcterms:created>
  <dc:creator>jrub</dc:creator>
  <dc:description/>
  <dc:language>en-CA</dc:language>
  <cp:lastModifiedBy>Roderick J. Hayslett</cp:lastModifiedBy>
  <cp:lastPrinted>2000-08-31T14:40:00Z</cp:lastPrinted>
  <dcterms:modified xsi:type="dcterms:W3CDTF">2000-08-31T17:14:00Z</dcterms:modified>
  <cp:revision>8</cp:revision>
  <dc:subject/>
  <dc:title>“Keep the wheels on…”</dc:title>
</cp:coreProperties>
</file>