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jc w:val="start"/>
        <w:rPr>
          <w:b w:val="false"/>
          <w:u w:val="none"/>
        </w:rPr>
      </w:pPr>
      <w:r>
        <w:rPr>
          <w:b w:val="false"/>
          <w:u w:val="none"/>
        </w:rPr>
        <w:t xml:space="preserve">April </w:t>
      </w:r>
      <w:r>
        <w:rPr>
          <w:b w:val="false"/>
          <w:strike/>
          <w:u w:val="none"/>
        </w:rPr>
        <w:t>{11}</w:t>
      </w:r>
      <w:r>
        <w:rPr>
          <w:b w:val="false"/>
          <w:u w:val="none"/>
        </w:rPr>
        <w:t xml:space="preserve"> </w:t>
      </w:r>
      <w:r>
        <w:rPr>
          <w:b w:val="false"/>
          <w:u w:val="double"/>
        </w:rPr>
        <w:t>{27}</w:t>
      </w:r>
      <w:r>
        <w:rPr>
          <w:b w:val="false"/>
          <w:u w:val="none"/>
        </w:rPr>
        <w:t>, 2001</w:t>
      </w:r>
    </w:p>
    <w:p>
      <w:pPr>
        <w:pStyle w:val="Title"/>
        <w:bidi w:val="0"/>
        <w:jc w:val="center"/>
        <w:rPr/>
      </w:pPr>
      <w:r>
        <w:rPr/>
        <w:t>LEGAL STATUS REPORT – ENRON CANADA</w:t>
      </w:r>
    </w:p>
    <w:p>
      <w:pPr>
        <w:pStyle w:val="Normal"/>
        <w:bidi w:val="0"/>
        <w:jc w:val="both"/>
        <w:rPr>
          <w:rFonts w:ascii="Arial" w:hAnsi="Arial"/>
        </w:rPr>
      </w:pPr>
      <w:r>
        <w:rPr>
          <w:rFonts w:ascii="Arial" w:hAnsi="Arial"/>
        </w:rPr>
      </w:r>
    </w:p>
    <w:tbl>
      <w:tblPr>
        <w:tblW w:w="13158" w:type="dxa"/>
        <w:jc w:val="start"/>
        <w:tblInd w:w="7" w:type="dxa"/>
        <w:tblLayout w:type="fixed"/>
        <w:tblCellMar>
          <w:top w:w="0" w:type="dxa"/>
          <w:start w:w="108" w:type="dxa"/>
          <w:bottom w:w="0" w:type="dxa"/>
          <w:end w:w="108" w:type="dxa"/>
        </w:tblCellMar>
      </w:tblPr>
      <w:tblGrid>
        <w:gridCol w:w="2177"/>
        <w:gridCol w:w="1891"/>
        <w:gridCol w:w="1889"/>
        <w:gridCol w:w="1711"/>
        <w:gridCol w:w="5490"/>
      </w:tblGrid>
      <w:tr>
        <w:trPr>
          <w:tblHeader w:val="true"/>
        </w:trPr>
        <w:tc>
          <w:tcPr>
            <w:tcW w:w="2177" w:type="dxa"/>
            <w:tcBorders>
              <w:top w:val="single" w:sz="6" w:space="0" w:color="000000"/>
              <w:start w:val="single" w:sz="6" w:space="0" w:color="000000"/>
              <w:bottom w:val="single" w:sz="6" w:space="0" w:color="000000"/>
              <w:end w:val="single" w:sz="6" w:space="0" w:color="000000"/>
            </w:tcBorders>
          </w:tcPr>
          <w:p>
            <w:pPr>
              <w:pStyle w:val="Subtitle"/>
              <w:tabs>
                <w:tab w:val="clear" w:pos="720"/>
              </w:tabs>
              <w:bidi w:val="0"/>
              <w:jc w:val="start"/>
              <w:rPr/>
            </w:pPr>
            <w:r>
              <w:rPr/>
              <w:t>PROJECT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Fonts w:ascii="Arial" w:hAnsi="Arial"/>
                <w:b/>
              </w:rPr>
              <w:t>RESPONSIBLE ATTORNEY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Fonts w:ascii="Arial" w:hAnsi="Arial"/>
                <w:b/>
              </w:rPr>
              <w:t>BUSINESS PERSON</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Fonts w:ascii="Arial" w:hAnsi="Arial"/>
                <w:b/>
              </w:rPr>
              <w:t>PROJECTED CLOSING</w:t>
            </w:r>
          </w:p>
        </w:tc>
        <w:tc>
          <w:tcPr>
            <w:tcW w:w="549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Fonts w:ascii="Arial" w:hAnsi="Arial"/>
                <w:b/>
              </w:rPr>
              <w:t xml:space="preserve">STATUS </w:t>
            </w:r>
            <w:r>
              <w:rPr>
                <w:rFonts w:ascii="Arial" w:hAnsi="Arial"/>
                <w:b/>
                <w:strike/>
              </w:rPr>
              <w:t>{ Co-op }</w:t>
            </w:r>
            <w:r>
              <w:rPr>
                <w:rFonts w:ascii="Arial" w:hAnsi="Arial"/>
                <w:b/>
                <w:u w:val="double"/>
              </w:rPr>
              <w: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u w:val="double"/>
              </w:rPr>
              <w:t>Project Redford</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u w:val="double"/>
              </w:rPr>
            </w:pPr>
            <w:r>
              <w:rPr>
                <w:rFonts w:ascii="Arial" w:hAnsi="Arial"/>
                <w:u w:val="double"/>
              </w:rPr>
              <w:t>Rob Milnthorp</w:t>
            </w:r>
          </w:p>
          <w:p>
            <w:pPr>
              <w:pStyle w:val="Normal"/>
              <w:tabs>
                <w:tab w:val="clear" w:pos="720"/>
              </w:tabs>
              <w:bidi w:val="0"/>
              <w:jc w:val="start"/>
              <w:rPr>
                <w:rFonts w:ascii="Arial" w:hAnsi="Arial"/>
                <w:u w:val="double"/>
              </w:rPr>
            </w:pPr>
            <w:r>
              <w:rPr>
                <w:rFonts w:ascii="Arial" w:hAnsi="Arial"/>
                <w:u w:val="double"/>
              </w:rPr>
              <w:t>Derek Davies</w:t>
            </w:r>
          </w:p>
          <w:p>
            <w:pPr>
              <w:pStyle w:val="Normal"/>
              <w:tabs>
                <w:tab w:val="clear" w:pos="720"/>
              </w:tabs>
              <w:bidi w:val="0"/>
              <w:jc w:val="start"/>
              <w:rPr>
                <w:rFonts w:ascii="Arial" w:hAnsi="Arial"/>
                <w:u w:val="double"/>
              </w:rPr>
            </w:pPr>
            <w:r>
              <w:rPr>
                <w:rFonts w:ascii="Arial" w:hAnsi="Arial"/>
                <w:u w:val="double"/>
              </w:rPr>
              <w:t>John Zufferli</w:t>
            </w:r>
          </w:p>
          <w:p>
            <w:pPr>
              <w:pStyle w:val="Normal"/>
              <w:tabs>
                <w:tab w:val="clear" w:pos="720"/>
              </w:tabs>
              <w:bidi w:val="0"/>
              <w:jc w:val="start"/>
              <w:rPr/>
            </w:pPr>
            <w:r>
              <w:rPr>
                <w:rFonts w:ascii="Arial" w:hAnsi="Arial"/>
                <w:u w:val="double"/>
              </w:rPr>
              <w:t>Kyle Kitagawa</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u w:val="double"/>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u w:val="double"/>
              </w:rPr>
              <w:t>Potential sale or origination with market participants for one-half (one Unit) of the PPA.    Meetings have been held.    Counterparties conducting commercial due diligence.</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u w:val="double"/>
              </w:rPr>
              <w:t>WalMart Power Supply Arrangement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u w:val="double"/>
              </w:rPr>
              <w:t>Darren Cross</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u w:val="double"/>
              </w:rPr>
              <w:t>May 1,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u w:val="double"/>
              </w:rPr>
              <w:t>Retail power supply arrangement to Alberta stores.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u w:val="double"/>
              </w:rPr>
              <w:t>Co-op Power}</w:t>
            </w:r>
            <w:r>
              <w:rPr>
                <w:rFonts w:ascii="Arial" w:hAnsi="Arial"/>
              </w:rPr>
              <w:t xml:space="preserve"> Supply Arrangement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Greg Johnston</w:t>
            </w:r>
          </w:p>
          <w:p>
            <w:pPr>
              <w:pStyle w:val="Normal"/>
              <w:tabs>
                <w:tab w:val="clear" w:pos="720"/>
              </w:tabs>
              <w:bidi w:val="0"/>
              <w:jc w:val="both"/>
              <w:rPr/>
            </w:pPr>
            <w:r>
              <w:rPr>
                <w:rFonts w:ascii="Arial" w:hAnsi="Arial"/>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rPr>
            </w:pPr>
            <w:r>
              <w:rPr>
                <w:rFonts w:ascii="Arial" w:hAnsi="Arial"/>
              </w:rPr>
              <w:t>Shawn Anderson</w:t>
            </w:r>
          </w:p>
          <w:p>
            <w:pPr>
              <w:pStyle w:val="Normal"/>
              <w:tabs>
                <w:tab w:val="clear" w:pos="720"/>
              </w:tabs>
              <w:bidi w:val="0"/>
              <w:jc w:val="start"/>
              <w:rPr/>
            </w:pPr>
            <w:r>
              <w:rPr>
                <w:rFonts w:ascii="Arial" w:hAnsi="Arial"/>
              </w:rPr>
              <w:t>Jason Biever</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u w:val="double"/>
              </w:rPr>
              <w:t>{Completed}</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5-year, 14MW retail supply arrangement to 127 store chain of supermarkets through Enron Direct (power sourced through ECC and ECPC under the PPA)</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Petro-Canada Outsourcing Arrangement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Eric LeDain</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5-year term extension and fee restructuring.    Letter agreement executed.    Redrafting Outsourcing Agreement.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Alberta PPA</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Greg Johnston</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rPr>
            </w:pPr>
            <w:r>
              <w:rPr>
                <w:rFonts w:ascii="Arial" w:hAnsi="Arial"/>
              </w:rPr>
              <w:t>John Zufferli</w:t>
            </w:r>
          </w:p>
          <w:p>
            <w:pPr>
              <w:pStyle w:val="Normal"/>
              <w:tabs>
                <w:tab w:val="clear" w:pos="720"/>
              </w:tabs>
              <w:bidi w:val="0"/>
              <w:jc w:val="start"/>
              <w:rPr/>
            </w:pPr>
            <w:r>
              <w:rPr>
                <w:rFonts w:ascii="Arial" w:hAnsi="Arial"/>
              </w:rPr>
              <w:t>Derek Davies</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rFonts w:ascii="Arial" w:hAnsi="Arial"/>
                <w:strike/>
              </w:rPr>
            </w:pPr>
            <w:r>
              <w:rPr>
                <w:rFonts w:ascii="Arial" w:hAnsi="Arial"/>
              </w:rPr>
              <w:t xml:space="preserve"> </w:t>
            </w:r>
            <w:r>
              <w:rPr>
                <w:rFonts w:ascii="Arial" w:hAnsi="Arial"/>
                <w:strike/>
              </w:rPr>
              <w:t>{Enron Canada Power Corp. acquired the Sundance "B" PPA for 706 MW for a term of 20 years, commencing January 1, 2001.}</w:t>
            </w:r>
            <w:r>
              <w:rPr>
                <w:rFonts w:ascii="Arial" w:hAnsi="Arial"/>
              </w:rPr>
              <w:t xml:space="preserve"> Numerous ongoing activities respecting trading and origination opportunities, monetization structures, regulatory and market rule issues, system access and transmission issues, market surveillance, </w:t>
            </w:r>
            <w:r>
              <w:rPr>
                <w:rFonts w:ascii="Arial" w:hAnsi="Arial"/>
                <w:strike/>
              </w:rPr>
              <w:t>{etc. Project Red Ball Greg Johnston Kyle Kitagawa 2nd Qtr. 2001 Pursuing long-term financing for acquisition of Alberta PPA with various institutions.</w:t>
            </w:r>
          </w:p>
          <w:p>
            <w:pPr>
              <w:pStyle w:val="Header"/>
              <w:tabs>
                <w:tab w:val="clear" w:pos="4320"/>
                <w:tab w:val="clear" w:pos="8640"/>
              </w:tabs>
              <w:bidi w:val="0"/>
              <w:jc w:val="both"/>
              <w:rPr/>
            </w:pPr>
            <w:r>
              <w:rPr>
                <w:rFonts w:ascii="Arial" w:hAnsi="Arial"/>
                <w:strike/>
              </w:rPr>
              <w:t>Negotiating proposed}</w:t>
            </w:r>
            <w:r>
              <w:rPr>
                <w:rFonts w:ascii="Arial" w:hAnsi="Arial"/>
              </w:rPr>
              <w:t xml:space="preserve"> Change of Law insurance </w:t>
            </w:r>
            <w:r>
              <w:rPr>
                <w:rFonts w:ascii="Arial" w:hAnsi="Arial"/>
                <w:strike/>
              </w:rPr>
              <w:t>{product}</w:t>
            </w:r>
            <w:r>
              <w:rPr>
                <w:rFonts w:ascii="Arial" w:hAnsi="Arial"/>
                <w:u w:val="double"/>
              </w:rPr>
              <w:t>{, etc}</w:t>
            </w:r>
            <w:r>
              <w:rPr>
                <w:rFonts w:ascii="Arial" w:hAnsi="Arial"/>
              </w:rPr>
              <w: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British Energy Canada</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 xml:space="preserve">Ontario Market Opening (Projected for </w:t>
            </w:r>
            <w:r>
              <w:rPr>
                <w:rFonts w:ascii="Arial" w:hAnsi="Arial"/>
                <w:strike/>
              </w:rPr>
              <w:t>{4th Qtr. 2001)}</w:t>
            </w:r>
            <w:r>
              <w:rPr>
                <w:rFonts w:ascii="Arial" w:hAnsi="Arial"/>
              </w:rPr>
              <w:t xml:space="preserve"> </w:t>
            </w:r>
            <w:r>
              <w:rPr>
                <w:rFonts w:ascii="Arial" w:hAnsi="Arial"/>
                <w:u w:val="double"/>
              </w:rPr>
              <w:t>{May, 2002)}</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3-year term firm PPA for 500 MW/h executed, conditional on Ontario market deregulation by November 30, 2001.    </w:t>
            </w:r>
            <w:r>
              <w:rPr>
                <w:rFonts w:ascii="Arial" w:hAnsi="Arial"/>
                <w:u w:val="double"/>
              </w:rPr>
              <w:t>{Negotiating market opening extension for May 2002.}</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Off-Take of British Energy Power</w:t>
            </w:r>
          </w:p>
        </w:tc>
        <w:tc>
          <w:tcPr>
            <w:tcW w:w="189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rFonts w:ascii="Arial" w:hAnsi="Arial"/>
              </w:rPr>
            </w:pPr>
            <w:r>
              <w:rPr>
                <w:rFonts w:ascii="Arial" w:hAnsi="Arial"/>
              </w:rPr>
              <w:t xml:space="preserve">Peter Keohane </w:t>
            </w:r>
          </w:p>
          <w:p>
            <w:pPr>
              <w:pStyle w:val="Header"/>
              <w:tabs>
                <w:tab w:val="clear" w:pos="4320"/>
                <w:tab w:val="clear" w:pos="8640"/>
              </w:tabs>
              <w:bidi w:val="0"/>
              <w:jc w:val="start"/>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 xml:space="preserve">Ontario Market Opening (Projected for </w:t>
            </w:r>
            <w:r>
              <w:rPr>
                <w:rFonts w:ascii="Arial" w:hAnsi="Arial"/>
                <w:strike/>
              </w:rPr>
              <w:t>{4th Qtr. 2001)}</w:t>
            </w:r>
            <w:r>
              <w:rPr>
                <w:rFonts w:ascii="Arial" w:hAnsi="Arial"/>
              </w:rPr>
              <w:t xml:space="preserve"> </w:t>
            </w:r>
            <w:r>
              <w:rPr>
                <w:rFonts w:ascii="Arial" w:hAnsi="Arial"/>
                <w:u w:val="double"/>
              </w:rPr>
              <w:t>{May, 2002)}</w:t>
            </w:r>
          </w:p>
        </w:tc>
        <w:tc>
          <w:tcPr>
            <w:tcW w:w="549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Firm PPAs, conditional on Ontario market deregulation by November 30, 2001, being discussed with various counterparties to hedge British Energy position.</w:t>
            </w:r>
          </w:p>
          <w:p>
            <w:pPr>
              <w:pStyle w:val="Normal"/>
              <w:tabs>
                <w:tab w:val="clear" w:pos="720"/>
              </w:tabs>
              <w:bidi w:val="0"/>
              <w:jc w:val="both"/>
              <w:rPr>
                <w:rFonts w:ascii="Arial" w:hAnsi="Arial"/>
              </w:rPr>
            </w:pPr>
            <w:r>
              <w:rPr>
                <w:rFonts w:ascii="Arial" w:hAnsi="Arial"/>
              </w:rPr>
              <w:t>36 MW, 3-year contract executed with Sunoco.</w:t>
            </w:r>
          </w:p>
          <w:p>
            <w:pPr>
              <w:pStyle w:val="Normal"/>
              <w:tabs>
                <w:tab w:val="clear" w:pos="720"/>
              </w:tabs>
              <w:bidi w:val="0"/>
              <w:jc w:val="both"/>
              <w:rPr>
                <w:rFonts w:ascii="Arial" w:hAnsi="Arial"/>
              </w:rPr>
            </w:pPr>
            <w:r>
              <w:rPr>
                <w:rFonts w:ascii="Arial" w:hAnsi="Arial"/>
              </w:rPr>
              <w:t>100 MW, 2-year contract executed with TransCanada Energy.</w:t>
            </w:r>
          </w:p>
          <w:p>
            <w:pPr>
              <w:pStyle w:val="Normal"/>
              <w:tabs>
                <w:tab w:val="clear" w:pos="720"/>
              </w:tabs>
              <w:bidi w:val="0"/>
              <w:jc w:val="both"/>
              <w:rPr>
                <w:rFonts w:ascii="Arial" w:hAnsi="Arial"/>
              </w:rPr>
            </w:pPr>
            <w:r>
              <w:rPr>
                <w:rFonts w:ascii="Arial" w:hAnsi="Arial"/>
                <w:u w:val="double"/>
              </w:rPr>
              <w:t>{Negotiating market opening extension for May 2002.}</w:t>
            </w:r>
          </w:p>
          <w:p>
            <w:pPr>
              <w:pStyle w:val="Normal"/>
              <w:tabs>
                <w:tab w:val="clear" w:pos="720"/>
              </w:tabs>
              <w:bidi w:val="0"/>
              <w:jc w:val="both"/>
              <w:rPr>
                <w:rFonts w:ascii="Arial" w:hAnsi="Arial"/>
              </w:rPr>
            </w:pPr>
            <w:r>
              <w:rPr>
                <w:rFonts w:ascii="Arial" w:hAnsi="Arial"/>
              </w:rPr>
              <w:t>48 MW, 3-year contract executed with IVACO.</w:t>
            </w:r>
          </w:p>
          <w:p>
            <w:pPr>
              <w:pStyle w:val="Normal"/>
              <w:tabs>
                <w:tab w:val="clear" w:pos="720"/>
              </w:tabs>
              <w:bidi w:val="0"/>
              <w:jc w:val="both"/>
              <w:rPr/>
            </w:pPr>
            <w:r>
              <w:rPr>
                <w:rFonts w:ascii="Arial" w:hAnsi="Arial"/>
              </w:rPr>
              <w:t xml:space="preserve">Commenced negotiations with </w:t>
            </w:r>
            <w:r>
              <w:rPr>
                <w:rFonts w:ascii="Arial" w:hAnsi="Arial"/>
                <w:strike/>
              </w:rPr>
              <w:t>{Bowater Inc. (50+ MW), Cadillac Fairview (40+ MW), Nitrochem (6}</w:t>
            </w:r>
            <w:r>
              <w:rPr>
                <w:rFonts w:ascii="Arial" w:hAnsi="Arial"/>
              </w:rPr>
              <w:t xml:space="preserve"> </w:t>
            </w:r>
            <w:r>
              <w:rPr>
                <w:rFonts w:ascii="Arial" w:hAnsi="Arial"/>
                <w:u w:val="double"/>
              </w:rPr>
              <w:t>{Casco Inc. (11 MW), Domtar (20+ MW), Terra (10}</w:t>
            </w:r>
            <w:r>
              <w:rPr>
                <w:rFonts w:ascii="Arial" w:hAnsi="Arial"/>
              </w:rPr>
              <w:t xml:space="preserve"> MW) and Atlantic Packaging (30+ MW).    Draft agreement being reviewed by several other counterparties.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Helv" w:hAnsi="Helv"/>
                <w:color w:val="000000"/>
              </w:rPr>
              <w:t>G-6 Energy Corp</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Helv" w:hAnsi="Helv"/>
                <w:color w:val="000000"/>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Helv" w:hAnsi="Helv"/>
                <w:color w:val="000000"/>
              </w:rPr>
            </w:pPr>
            <w:r>
              <w:rPr>
                <w:rFonts w:ascii="Helv" w:hAnsi="Helv"/>
                <w:color w:val="000000"/>
              </w:rPr>
              <w:t>Paul DeVries</w:t>
            </w:r>
          </w:p>
          <w:p>
            <w:pPr>
              <w:pStyle w:val="Normal"/>
              <w:tabs>
                <w:tab w:val="clear" w:pos="720"/>
              </w:tabs>
              <w:bidi w:val="0"/>
              <w:jc w:val="both"/>
              <w:rPr/>
            </w:pPr>
            <w:r>
              <w:rPr>
                <w:rFonts w:ascii="Helv" w:hAnsi="Helv"/>
                <w:color w:val="000000"/>
              </w:rPr>
              <w:t>Jan Wilson</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Helv" w:hAnsi="Helv"/>
                <w:color w:val="000000"/>
              </w:rPr>
              <w:t xml:space="preserve"> </w:t>
            </w:r>
            <w:r>
              <w:rPr>
                <w:rFonts w:ascii="Helv" w:hAnsi="Helv"/>
                <w:strike/>
                <w:color w:val="000000"/>
              </w:rPr>
              <w:t>{1st}</w:t>
            </w:r>
            <w:r>
              <w:rPr>
                <w:rFonts w:ascii="Helv" w:hAnsi="Helv"/>
                <w:color w:val="000000"/>
              </w:rPr>
              <w:t xml:space="preserve"> </w:t>
            </w:r>
            <w:r>
              <w:rPr>
                <w:rFonts w:ascii="Helv" w:hAnsi="Helv"/>
                <w:color w:val="000000"/>
                <w:u w:val="double"/>
              </w:rPr>
              <w:t>{2nd}</w:t>
            </w:r>
            <w:r>
              <w:rPr>
                <w:rFonts w:ascii="Helv" w:hAnsi="Helv"/>
                <w:color w:val="000000"/>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Helv" w:hAnsi="Helv"/>
                <w:color w:val="000000"/>
              </w:rPr>
              <w:t xml:space="preserve">Structured transaction forming a retail electricity provider with </w:t>
            </w:r>
            <w:r>
              <w:rPr>
                <w:rFonts w:ascii="Helv" w:hAnsi="Helv"/>
                <w:strike/>
                <w:color w:val="000000"/>
              </w:rPr>
              <w:t>{4}</w:t>
            </w:r>
            <w:r>
              <w:rPr>
                <w:rFonts w:ascii="Helv" w:hAnsi="Helv"/>
                <w:color w:val="000000"/>
              </w:rPr>
              <w:t xml:space="preserve"> </w:t>
            </w:r>
            <w:r>
              <w:rPr>
                <w:rFonts w:ascii="Helv" w:hAnsi="Helv"/>
                <w:color w:val="000000"/>
                <w:u w:val="double"/>
              </w:rPr>
              <w:t>{2}</w:t>
            </w:r>
            <w:r>
              <w:rPr>
                <w:rFonts w:ascii="Helv" w:hAnsi="Helv"/>
                <w:color w:val="000000"/>
              </w:rPr>
              <w:t xml:space="preserve"> large Ontario Municipal Electrical Utilities.    Enron Canada to provide services and exclusive wholesale electricity supply.    Enron Canada to take a </w:t>
            </w:r>
            <w:r>
              <w:rPr>
                <w:rFonts w:ascii="Helv" w:hAnsi="Helv"/>
                <w:strike/>
                <w:color w:val="000000"/>
              </w:rPr>
              <w:t>{20%}</w:t>
            </w:r>
            <w:r>
              <w:rPr>
                <w:rFonts w:ascii="Helv" w:hAnsi="Helv"/>
                <w:color w:val="000000"/>
              </w:rPr>
              <w:t xml:space="preserve"> </w:t>
            </w:r>
            <w:r>
              <w:rPr>
                <w:rFonts w:ascii="Helv" w:hAnsi="Helv"/>
                <w:color w:val="000000"/>
                <w:u w:val="double"/>
              </w:rPr>
              <w:t>{60%}</w:t>
            </w:r>
            <w:r>
              <w:rPr>
                <w:rFonts w:ascii="Helv" w:hAnsi="Helv"/>
                <w:color w:val="000000"/>
              </w:rPr>
              <w:t xml:space="preserve"> equity share in the G-6 </w:t>
            </w:r>
            <w:r>
              <w:rPr>
                <w:rFonts w:ascii="Helv" w:hAnsi="Helv"/>
                <w:strike/>
                <w:color w:val="000000"/>
              </w:rPr>
              <w:t>{and be granted an option to increase holdings to 50%}</w:t>
            </w:r>
            <w:r>
              <w:rPr>
                <w:rFonts w:ascii="Helv" w:hAnsi="Helv"/>
                <w:color w:val="000000"/>
              </w:rPr>
              <w:t xml:space="preserve">.    Definitive Agreements being </w:t>
            </w:r>
            <w:r>
              <w:rPr>
                <w:rFonts w:ascii="Helv" w:hAnsi="Helv"/>
                <w:strike/>
                <w:color w:val="000000"/>
              </w:rPr>
              <w:t>{reviewed by MEUs}</w:t>
            </w:r>
            <w:r>
              <w:rPr>
                <w:rFonts w:ascii="Helv" w:hAnsi="Helv"/>
                <w:color w:val="000000"/>
              </w:rPr>
              <w:t xml:space="preserve"> </w:t>
            </w:r>
            <w:r>
              <w:rPr>
                <w:rFonts w:ascii="Helv" w:hAnsi="Helv"/>
                <w:color w:val="000000"/>
                <w:u w:val="double"/>
              </w:rPr>
              <w:t>{revised to reflect new structure}</w:t>
            </w:r>
            <w:r>
              <w:rPr>
                <w:rFonts w:ascii="Helv" w:hAnsi="Helv"/>
                <w:color w:val="000000"/>
              </w:rPr>
              <w: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ENERconnect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strike/>
              </w:rPr>
            </w:pPr>
            <w:r>
              <w:rPr>
                <w:rFonts w:ascii="Arial" w:hAnsi="Arial"/>
              </w:rPr>
              <w:t xml:space="preserve"> </w:t>
            </w:r>
            <w:r>
              <w:rPr>
                <w:rFonts w:ascii="Arial" w:hAnsi="Arial"/>
                <w:strike/>
              </w:rPr>
              <w:t>{Rob Milnthorp</w:t>
            </w:r>
          </w:p>
          <w:p>
            <w:pPr>
              <w:pStyle w:val="Normal"/>
              <w:tabs>
                <w:tab w:val="clear" w:pos="720"/>
              </w:tabs>
              <w:bidi w:val="0"/>
              <w:jc w:val="both"/>
              <w:rPr/>
            </w:pPr>
            <w:r>
              <w:rPr>
                <w:rFonts w:ascii="Arial" w:hAnsi="Arial"/>
                <w:strike/>
              </w:rPr>
              <w:t>}</w:t>
            </w: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 xml:space="preserve">Commencing on Ontario Market Opening (Projected for </w:t>
            </w:r>
            <w:r>
              <w:rPr>
                <w:rFonts w:ascii="Arial" w:hAnsi="Arial"/>
                <w:strike/>
              </w:rPr>
              <w:t>{4th Qtr. 2001)}</w:t>
            </w:r>
            <w:r>
              <w:rPr>
                <w:rFonts w:ascii="Arial" w:hAnsi="Arial"/>
              </w:rPr>
              <w:t xml:space="preserve"> </w:t>
            </w:r>
            <w:r>
              <w:rPr>
                <w:rFonts w:ascii="Arial" w:hAnsi="Arial"/>
                <w:u w:val="double"/>
              </w:rPr>
              <w:t>{May, 2002)}</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3-year retail electricity services and alliance agreement.    Negotiating </w:t>
            </w:r>
            <w:r>
              <w:rPr>
                <w:rFonts w:ascii="Arial" w:hAnsi="Arial"/>
                <w:strike/>
              </w:rPr>
              <w:t>{terms for extension and release of non-competes, failing}</w:t>
            </w:r>
            <w:r>
              <w:rPr>
                <w:rFonts w:ascii="Arial" w:hAnsi="Arial"/>
              </w:rPr>
              <w:t xml:space="preserve"> market opening </w:t>
            </w:r>
            <w:r>
              <w:rPr>
                <w:rFonts w:ascii="Arial" w:hAnsi="Arial"/>
                <w:strike/>
              </w:rPr>
              <w:t>{by July/01}</w:t>
            </w:r>
            <w:r>
              <w:rPr>
                <w:rFonts w:ascii="Arial" w:hAnsi="Arial"/>
              </w:rPr>
              <w:t xml:space="preserve"> </w:t>
            </w:r>
            <w:r>
              <w:rPr>
                <w:rFonts w:ascii="Arial" w:hAnsi="Arial"/>
                <w:u w:val="double"/>
              </w:rPr>
              <w:t>{extension}</w:t>
            </w:r>
            <w:r>
              <w:rPr>
                <w:rFonts w:ascii="Arial" w:hAnsi="Arial"/>
              </w:rPr>
              <w: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Mobile Turbine Joint Venture</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Greg Johnston</w:t>
            </w:r>
          </w:p>
          <w:p>
            <w:pPr>
              <w:pStyle w:val="Normal"/>
              <w:tabs>
                <w:tab w:val="clear" w:pos="720"/>
              </w:tabs>
              <w:bidi w:val="0"/>
              <w:jc w:val="both"/>
              <w:rPr>
                <w:rFonts w:ascii="Arial" w:hAnsi="Arial"/>
              </w:rPr>
            </w:pPr>
            <w:r>
              <w:rPr>
                <w:rFonts w:ascii="Arial" w:hAnsi="Arial"/>
              </w:rPr>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Kyle Kitagawa</w:t>
            </w:r>
          </w:p>
          <w:p>
            <w:pPr>
              <w:pStyle w:val="Normal"/>
              <w:tabs>
                <w:tab w:val="clear" w:pos="720"/>
              </w:tabs>
              <w:bidi w:val="0"/>
              <w:jc w:val="both"/>
              <w:rPr/>
            </w:pPr>
            <w:r>
              <w:rPr>
                <w:rFonts w:ascii="Arial" w:hAnsi="Arial"/>
              </w:rPr>
              <w:t>Duncan Croasdale</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2</w:t>
            </w:r>
            <w:r>
              <w:rPr>
                <w:rFonts w:ascii="Arial" w:hAnsi="Arial"/>
                <w:vertAlign w:val="superscript"/>
              </w:rPr>
              <w:t>nd</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Closed funding and structuring of Advanced Mobile Power Systems, with ENA obtaining an 85% interest.    ENA assets have been transferred into AMPS.    Vendor contracts regarding the supply of various components to complete the manufacture of one beta unit by July 2001 have all been executed.    Staffing of AMPS is underway.    Currently marketing test unit for sale.    Ongoing legal review of all marketing, employment and contractual documentation.    Enron has agreed to provide legal services to AMPS for the first six months of its operation.</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rPr>
            </w:pPr>
            <w:r>
              <w:rPr>
                <w:rFonts w:ascii="Arial" w:hAnsi="Arial"/>
              </w:rPr>
              <w:t>Government of Ontario NUG</w:t>
            </w:r>
          </w:p>
          <w:p>
            <w:pPr>
              <w:pStyle w:val="Normal"/>
              <w:tabs>
                <w:tab w:val="clear" w:pos="720"/>
              </w:tabs>
              <w:bidi w:val="0"/>
              <w:jc w:val="start"/>
              <w:rPr/>
            </w:pPr>
            <w:r>
              <w:rPr>
                <w:rFonts w:ascii="Arial" w:hAnsi="Arial"/>
              </w:rPr>
              <w:t>Contract RFP</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2</w:t>
            </w:r>
            <w:r>
              <w:rPr>
                <w:rFonts w:ascii="Arial" w:hAnsi="Arial"/>
                <w:vertAlign w:val="superscript"/>
              </w:rPr>
              <w:t>nd</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RFP for management of the Non-Utility Generation Contracts on behalf of the Government of Ontario.    Enron Canada awarded RFP.    Due diligence and negotiation of Definitive Agreement.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Enron Direct Canadian Retail (Power and Gas) Initiative</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 xml:space="preserve">Mark </w:t>
            </w:r>
            <w:r>
              <w:rPr>
                <w:rFonts w:ascii="Arial" w:hAnsi="Arial"/>
                <w:u w:val="double"/>
              </w:rPr>
              <w:t>{Powell</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strike/>
              </w:rPr>
            </w:pPr>
            <w:r>
              <w:rPr>
                <w:rFonts w:ascii="Arial" w:hAnsi="Arial"/>
                <w:u w:val="double"/>
              </w:rPr>
              <w:t>Darren Cross}</w:t>
            </w:r>
            <w:r>
              <w:rPr>
                <w:rFonts w:ascii="Arial" w:hAnsi="Arial"/>
              </w:rPr>
              <w:t xml:space="preserve"> </w:t>
            </w:r>
            <w:r>
              <w:rPr>
                <w:rFonts w:ascii="Arial" w:hAnsi="Arial"/>
                <w:strike/>
              </w:rPr>
              <w:t>{Powell Rob Milnthorp</w:t>
            </w:r>
          </w:p>
          <w:p>
            <w:pPr>
              <w:pStyle w:val="Normal"/>
              <w:tabs>
                <w:tab w:val="clear" w:pos="720"/>
              </w:tabs>
              <w:bidi w:val="0"/>
              <w:jc w:val="both"/>
              <w:rPr/>
            </w:pPr>
            <w:r>
              <w:rPr>
                <w:rFonts w:ascii="Arial" w:hAnsi="Arial"/>
                <w:strike/>
              </w:rPr>
              <w:t>Kate Joslyn}</w:t>
            </w:r>
            <w:r>
              <w:rPr>
                <w:rFonts w:ascii="Arial" w:hAnsi="Arial"/>
              </w:rPr>
              <w:t xml:space="preserve"> </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Retail electricity and natural gas affiliate for Canadian jurisdictions.    Developing and negotiating retail gas contracts.    Reviewing, commenting and amending proposed mechanics of infrastructure service for power through regulatory hearings dealing with the wire service providers and amending Power Pool of Alberta rules.    Acquiring office space, licenses, support contracts and addressing numerous other necessary new market and business matters.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Papier Masson Ltee</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 xml:space="preserve"> </w:t>
            </w:r>
            <w:r>
              <w:rPr>
                <w:rFonts w:ascii="Arial" w:hAnsi="Arial"/>
                <w:strike/>
              </w:rPr>
              <w:t>{Peter Keohane}</w:t>
            </w:r>
            <w:r>
              <w:rPr>
                <w:rFonts w:ascii="Arial" w:hAnsi="Arial"/>
              </w:rPr>
              <w:t xml:space="preserve"> </w:t>
            </w:r>
            <w:r>
              <w:rPr>
                <w:rFonts w:ascii="Arial" w:hAnsi="Arial"/>
                <w:u w:val="double"/>
              </w:rPr>
              <w:t>{Not Applicable}</w:t>
            </w:r>
          </w:p>
          <w:p>
            <w:pPr>
              <w:pStyle w:val="Normal"/>
              <w:tabs>
                <w:tab w:val="clear" w:pos="720"/>
              </w:tabs>
              <w:bidi w:val="0"/>
              <w:jc w:val="both"/>
              <w:rPr/>
            </w:pPr>
            <w:r>
              <w:rPr>
                <w:rFonts w:ascii="Arial" w:hAnsi="Arial"/>
                <w:strike/>
              </w:rPr>
              <w:t>{ Paul DeVries Not applicable Ongoing monitoring of TMP construction, equity investments and loan guarantees. Currently reviewing acquisition/disposition opportunities. Negotiating potential buy-out of other shareholders}</w:t>
            </w:r>
            <w:r>
              <w:rPr>
                <w:rFonts w:ascii="Arial" w:hAnsi="Arial"/>
              </w:rPr>
              <w:t xml:space="preserve"> </w:t>
            </w:r>
            <w:r>
              <w:rPr>
                <w:rFonts w:ascii="Arial" w:hAnsi="Arial"/>
                <w:u w:val="double"/>
              </w:rPr>
              <w:t>{</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Not Applicable</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u w:val="double"/>
              </w:rPr>
              <w:t>Asset transferred to Enron Global Markets}</w:t>
            </w:r>
            <w:r>
              <w:rPr>
                <w:rFonts w:ascii="Arial" w:hAnsi="Arial"/>
              </w:rPr>
              <w: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Invasion Energy Inc.</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strike/>
              </w:rPr>
              <w:t>{ Kyle Kitagawa Not applicable Ongoing monitoring of equity and debt investments. Sale anticipated for 4th Qtr. 2001}</w:t>
            </w:r>
            <w:r>
              <w:rPr>
                <w:rFonts w:ascii="Arial" w:hAnsi="Arial"/>
              </w:rPr>
              <w:t xml:space="preserve"> </w:t>
            </w:r>
            <w:r>
              <w:rPr>
                <w:rFonts w:ascii="Arial" w:hAnsi="Arial"/>
                <w:u w:val="double"/>
              </w:rPr>
              <w:t>{Greg Johnston</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Kyle Kitagawa</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May 15,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u w:val="double"/>
              </w:rPr>
              <w:t>C$56MM offer received from Wiser Oil Company}</w:t>
            </w:r>
            <w:r>
              <w:rPr>
                <w:rFonts w:ascii="Arial" w:hAnsi="Arial"/>
              </w:rPr>
              <w: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Energy Services Agreements</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Paul DeVries</w:t>
            </w:r>
          </w:p>
          <w:p>
            <w:pPr>
              <w:pStyle w:val="Normal"/>
              <w:tabs>
                <w:tab w:val="clear" w:pos="720"/>
              </w:tabs>
              <w:bidi w:val="0"/>
              <w:jc w:val="both"/>
              <w:rPr>
                <w:rFonts w:ascii="Arial" w:hAnsi="Arial"/>
              </w:rPr>
            </w:pPr>
            <w:r>
              <w:rPr>
                <w:rFonts w:ascii="Arial" w:hAnsi="Arial"/>
              </w:rPr>
              <w:t>Jeff Borg</w:t>
            </w:r>
          </w:p>
          <w:p>
            <w:pPr>
              <w:pStyle w:val="Normal"/>
              <w:tabs>
                <w:tab w:val="clear" w:pos="720"/>
              </w:tabs>
              <w:bidi w:val="0"/>
              <w:jc w:val="both"/>
              <w:rPr/>
            </w:pPr>
            <w:r>
              <w:rPr>
                <w:rFonts w:ascii="Arial" w:hAnsi="Arial"/>
              </w:rPr>
              <w:t>Jan Wilson</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strike/>
              </w:rPr>
            </w:pPr>
            <w:r>
              <w:rPr>
                <w:rFonts w:ascii="Arial" w:hAnsi="Arial"/>
                <w:u w:val="double"/>
              </w:rPr>
              <w:t>{2nd}</w:t>
            </w:r>
            <w:r>
              <w:rPr>
                <w:rFonts w:ascii="Arial" w:hAnsi="Arial"/>
              </w:rPr>
              <w:t xml:space="preserve"> </w:t>
            </w:r>
            <w:r>
              <w:rPr>
                <w:rFonts w:ascii="Arial" w:hAnsi="Arial"/>
                <w:strike/>
              </w:rPr>
              <w:t>{4th Qtr. 2000</w:t>
            </w:r>
          </w:p>
          <w:p>
            <w:pPr>
              <w:pStyle w:val="Normal"/>
              <w:tabs>
                <w:tab w:val="clear" w:pos="720"/>
              </w:tabs>
              <w:bidi w:val="0"/>
              <w:jc w:val="both"/>
              <w:rPr/>
            </w:pPr>
            <w:r>
              <w:rPr>
                <w:rFonts w:ascii="Arial" w:hAnsi="Arial"/>
                <w:strike/>
              </w:rPr>
              <w:t>1st}</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Negotiating services agreements with various counterparties, including </w:t>
            </w:r>
            <w:r>
              <w:rPr>
                <w:rFonts w:ascii="Arial" w:hAnsi="Arial"/>
                <w:strike/>
              </w:rPr>
              <w:t>{Bowater,}</w:t>
            </w:r>
            <w:r>
              <w:rPr>
                <w:rFonts w:ascii="Arial" w:hAnsi="Arial"/>
              </w:rPr>
              <w:t xml:space="preserve"> Cadillac Fairview, Magna, </w:t>
            </w:r>
            <w:r>
              <w:rPr>
                <w:rFonts w:ascii="Arial" w:hAnsi="Arial"/>
                <w:strike/>
              </w:rPr>
              <w:t>{Nitrochem}</w:t>
            </w:r>
            <w:r>
              <w:rPr>
                <w:rFonts w:ascii="Arial" w:hAnsi="Arial"/>
              </w:rPr>
              <w:t xml:space="preserve"> </w:t>
            </w:r>
            <w:r>
              <w:rPr>
                <w:rFonts w:ascii="Arial" w:hAnsi="Arial"/>
                <w:u w:val="double"/>
              </w:rPr>
              <w:t>{Terra}</w:t>
            </w:r>
            <w:r>
              <w:rPr>
                <w:rFonts w:ascii="Arial" w:hAnsi="Arial"/>
              </w:rPr>
              <w:t xml:space="preserve"> and Ivaco.    Executed Agreement with Sunoco (3 yr. term).</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Blue Range Resource Corporation</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Rob Milnthorp</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 </w:t>
            </w:r>
            <w:r>
              <w:rPr>
                <w:rFonts w:ascii="Arial" w:hAnsi="Arial"/>
                <w:strike/>
              </w:rPr>
              <w:t>{Ongoing administration of estate wind-up and final dividend payment.}</w:t>
            </w:r>
            <w:r>
              <w:rPr>
                <w:rFonts w:ascii="Arial" w:hAnsi="Arial"/>
              </w:rPr>
              <w:t xml:space="preserve"> Final $.05 ($2.5MM) dividend anticipated for Q2 or Q3, 2001.</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Moore Power Project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Greg Johnston</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 xml:space="preserve">Kyle Kitagawa </w:t>
            </w:r>
          </w:p>
          <w:p>
            <w:pPr>
              <w:pStyle w:val="Normal"/>
              <w:tabs>
                <w:tab w:val="clear" w:pos="720"/>
              </w:tabs>
              <w:bidi w:val="0"/>
              <w:jc w:val="both"/>
              <w:rPr/>
            </w:pPr>
            <w:r>
              <w:rPr>
                <w:rFonts w:ascii="Arial" w:hAnsi="Arial"/>
              </w:rPr>
              <w:t>Eric Le Dain</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Packaging project for sale (turbines, queue position, land option, permitting) to potential third parties.    Discussions currently with various potential purchasers.    Turbine purchase agreements have been distributed to the potential buyers for review.    U.S. Department of Energy permit application regarding the international power line </w:t>
            </w:r>
            <w:r>
              <w:rPr>
                <w:rFonts w:ascii="Arial" w:hAnsi="Arial"/>
                <w:strike/>
              </w:rPr>
              <w:t>{is being submitted}</w:t>
            </w:r>
            <w:r>
              <w:rPr>
                <w:rFonts w:ascii="Arial" w:hAnsi="Arial"/>
              </w:rPr>
              <w:t xml:space="preserve"> </w:t>
            </w:r>
            <w:r>
              <w:rPr>
                <w:rFonts w:ascii="Arial" w:hAnsi="Arial"/>
                <w:u w:val="double"/>
              </w:rPr>
              <w:t>{has been submitted and is being reviewed.    NEB permit application is being finalized for submission}</w:t>
            </w:r>
            <w:r>
              <w:rPr>
                <w:rFonts w:ascii="Arial" w:hAnsi="Arial"/>
              </w:rPr>
              <w: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Shell/Sierra Pacific</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Eric Le Dain</w:t>
            </w:r>
          </w:p>
          <w:p>
            <w:pPr>
              <w:pStyle w:val="Normal"/>
              <w:tabs>
                <w:tab w:val="clear" w:pos="720"/>
              </w:tabs>
              <w:bidi w:val="0"/>
              <w:jc w:val="both"/>
              <w:rPr/>
            </w:pPr>
            <w:r>
              <w:rPr>
                <w:rFonts w:ascii="Arial" w:hAnsi="Arial"/>
              </w:rPr>
              <w:t>Barry Tycholiz</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May 31,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Preparing and coordinating actual assignments to satisfy conditions precedent to Assignment of long-term transportation capacity from Shell to Sierra through ECC/ENA. </w:t>
            </w:r>
            <w:r>
              <w:rPr>
                <w:rFonts w:ascii="Arial" w:hAnsi="Arial"/>
                <w:strike/>
              </w:rPr>
              <w:t>{ BC Gas Mark Powell Grant Oh Unknown Development of license and/or other documentation to permit Enron Online data to be posted by BC Gas. Hunt Oil Company of Canada Inc. Mark Powell Grant Oh Unknown Management Services Agreement relating to the management of pipeline capacity.}</w:t>
            </w:r>
            <w:r>
              <w:rPr>
                <w:rFonts w:ascii="Arial" w:hAnsi="Arial"/>
              </w:rPr>
              <w:t xml:space="preserve"> </w:t>
            </w:r>
          </w:p>
        </w:tc>
      </w:tr>
      <w:tr>
        <w:trPr>
          <w:cantSplit w:val="true"/>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Forms</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Greg Johnston</w:t>
            </w:r>
          </w:p>
          <w:p>
            <w:pPr>
              <w:pStyle w:val="Normal"/>
              <w:tabs>
                <w:tab w:val="clear" w:pos="720"/>
              </w:tabs>
              <w:bidi w:val="0"/>
              <w:jc w:val="both"/>
              <w:rPr>
                <w:rFonts w:ascii="Arial" w:hAnsi="Arial"/>
              </w:rPr>
            </w:pPr>
            <w:r>
              <w:rPr>
                <w:rFonts w:ascii="Arial" w:hAnsi="Arial"/>
              </w:rPr>
              <w:t>Chris Gaffney</w:t>
            </w:r>
          </w:p>
          <w:p>
            <w:pPr>
              <w:pStyle w:val="Normal"/>
              <w:tabs>
                <w:tab w:val="clear" w:pos="720"/>
              </w:tabs>
              <w:bidi w:val="0"/>
              <w:jc w:val="both"/>
              <w:rPr>
                <w:rFonts w:ascii="Arial" w:hAnsi="Arial"/>
              </w:rPr>
            </w:pPr>
            <w:r>
              <w:rPr>
                <w:rFonts w:ascii="Arial" w:hAnsi="Arial"/>
              </w:rPr>
              <w:t>Mark Powell</w:t>
            </w:r>
          </w:p>
          <w:p>
            <w:pPr>
              <w:pStyle w:val="Normal"/>
              <w:tabs>
                <w:tab w:val="clear" w:pos="720"/>
              </w:tabs>
              <w:bidi w:val="0"/>
              <w:jc w:val="both"/>
              <w:rPr/>
            </w:pPr>
            <w:r>
              <w:rPr>
                <w:rFonts w:ascii="Arial" w:hAnsi="Arial"/>
              </w:rPr>
              <w:t>Mary Cook</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Derek Davies</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1</w:t>
            </w:r>
            <w:r>
              <w:rPr>
                <w:rFonts w:ascii="Arial" w:hAnsi="Arial"/>
                <w:vertAlign w:val="superscript"/>
              </w:rPr>
              <w:t>st</w:t>
            </w:r>
            <w:r>
              <w:rPr>
                <w:rFonts w:ascii="Arial" w:hAnsi="Arial"/>
              </w:rPr>
              <w:t xml:space="preserve"> Qtr.</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rFonts w:ascii="Arial" w:hAnsi="Arial"/>
              </w:rPr>
            </w:pPr>
            <w:r>
              <w:rPr>
                <w:rFonts w:ascii="Arial" w:hAnsi="Arial"/>
              </w:rPr>
              <w:t>Have prepared a form of one-off physical power supply agreement, based upon our Canadian form of Master Agreement.</w:t>
            </w:r>
          </w:p>
          <w:p>
            <w:pPr>
              <w:pStyle w:val="Header"/>
              <w:tabs>
                <w:tab w:val="clear" w:pos="4320"/>
                <w:tab w:val="clear" w:pos="8640"/>
              </w:tabs>
              <w:bidi w:val="0"/>
              <w:jc w:val="both"/>
              <w:rPr/>
            </w:pPr>
            <w:r>
              <w:rPr>
                <w:rFonts w:ascii="Arial" w:hAnsi="Arial"/>
              </w:rPr>
              <w:t>Have revived “industrial” Master Agreement as alternative to ISDA Master Agreement for limited use with industrial counterparties, for small volumes, gas/power only, and no cross-border, cross-currency issues.</w:t>
            </w:r>
            <w:r>
              <w:rPr>
                <w:rFonts w:ascii="Arial" w:hAnsi="Arial"/>
                <w:u w:val="double"/>
              </w:rPr>
              <w:t>{</w:t>
            </w:r>
          </w:p>
        </w:tc>
      </w:tr>
      <w:tr>
        <w:trPr>
          <w:cantSplit w:val="true"/>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u w:val="double"/>
              </w:rPr>
            </w:pPr>
            <w:r>
              <w:rPr>
                <w:rFonts w:ascii="Arial" w:hAnsi="Arial"/>
                <w:u w:val="double"/>
              </w:rPr>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u w:val="double"/>
              </w:rPr>
            </w:pPr>
            <w:r>
              <w:rPr>
                <w:rFonts w:ascii="Arial" w:hAnsi="Arial"/>
                <w:u w:val="double"/>
              </w:rPr>
              <w:t>Paul Devries</w:t>
            </w:r>
          </w:p>
          <w:p>
            <w:pPr>
              <w:pStyle w:val="Normal"/>
              <w:tabs>
                <w:tab w:val="clear" w:pos="720"/>
              </w:tabs>
              <w:bidi w:val="0"/>
              <w:jc w:val="both"/>
              <w:rPr/>
            </w:pPr>
            <w:r>
              <w:rPr>
                <w:rFonts w:ascii="Arial" w:hAnsi="Arial"/>
                <w:u w:val="double"/>
              </w:rPr>
              <w:t>Garrett Tripp</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2</w:t>
            </w:r>
            <w:r>
              <w:rPr>
                <w:rFonts w:ascii="Arial" w:hAnsi="Arial"/>
                <w:u w:val="double"/>
                <w:vertAlign w:val="superscript"/>
              </w:rPr>
              <w:t>nd</w:t>
            </w:r>
            <w:r>
              <w:rPr>
                <w:rFonts w:ascii="Arial" w:hAnsi="Arial"/>
              </w:rPr>
              <w:t xml:space="preserve"> </w:t>
            </w:r>
            <w:r>
              <w:rPr>
                <w:rFonts w:ascii="Arial" w:hAnsi="Arial"/>
                <w:u w:val="double"/>
              </w:rPr>
              <w:t>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u w:val="double"/>
              </w:rPr>
              <w:t>}</w:t>
            </w:r>
            <w:r>
              <w:rPr>
                <w:rFonts w:ascii="Arial" w:hAnsi="Arial"/>
              </w:rPr>
              <w:t>Preparation of Ontario standard physical (power) master agreement with committee of Ontario market participants based on EEI form.</w:t>
            </w:r>
          </w:p>
        </w:tc>
      </w:tr>
    </w:tbl>
    <w:p>
      <w:pPr>
        <w:pStyle w:val="Normal"/>
        <w:bidi w:val="0"/>
        <w:jc w:val="both"/>
        <w:rPr>
          <w:rFonts w:ascii="Arial" w:hAnsi="Arial"/>
        </w:rPr>
      </w:pPr>
      <w:r>
        <w:rPr>
          <w:rFonts w:ascii="Arial" w:hAnsi="Arial"/>
        </w:rPr>
      </w:r>
    </w:p>
    <w:p>
      <w:pPr>
        <w:pStyle w:val="Normal"/>
        <w:bidi w:val="0"/>
        <w:jc w:val="both"/>
        <w:rPr>
          <w:rFonts w:ascii="Arial" w:hAnsi="Arial"/>
        </w:rPr>
      </w:pPr>
      <w:r>
        <w:rPr>
          <w:rFonts w:ascii="Arial" w:hAnsi="Arial"/>
        </w:rPr>
      </w:r>
    </w:p>
    <w:p>
      <w:pPr>
        <w:pStyle w:val="Normal"/>
        <w:bidi w:val="0"/>
        <w:ind w:hanging="3600" w:start="3600"/>
        <w:jc w:val="both"/>
        <w:rPr>
          <w:rFonts w:ascii="Arial" w:hAnsi="Arial"/>
          <w:u w:val="single"/>
        </w:rPr>
      </w:pPr>
      <w:r>
        <w:rPr>
          <w:rFonts w:ascii="Arial" w:hAnsi="Arial"/>
          <w:u w:val="single"/>
        </w:rPr>
        <w:t>Non-Transactional/Other Matters:</w:t>
      </w:r>
    </w:p>
    <w:p>
      <w:pPr>
        <w:pStyle w:val="Normal"/>
        <w:bidi w:val="0"/>
        <w:ind w:hanging="3600" w:start="3600"/>
        <w:jc w:val="both"/>
        <w:rPr>
          <w:rFonts w:ascii="Arial" w:hAnsi="Arial"/>
        </w:rPr>
      </w:pPr>
      <w:r>
        <w:rPr>
          <w:rFonts w:ascii="Arial" w:hAnsi="Arial"/>
        </w:rPr>
      </w:r>
    </w:p>
    <w:p>
      <w:pPr>
        <w:pStyle w:val="Normal"/>
        <w:numPr>
          <w:ilvl w:val="0"/>
          <w:numId w:val="1"/>
        </w:numPr>
        <w:tabs>
          <w:tab w:val="left" w:pos="720" w:leader="none"/>
        </w:tabs>
        <w:bidi w:val="0"/>
        <w:ind w:hanging="720" w:start="720"/>
        <w:jc w:val="both"/>
        <w:rPr>
          <w:rFonts w:ascii="Arial" w:hAnsi="Arial"/>
        </w:rPr>
      </w:pPr>
      <w:r>
        <w:rPr>
          <w:rFonts w:ascii="Arial" w:hAnsi="Arial"/>
        </w:rPr>
        <w:t>Ongoing consultations/disputes with Alberta Government regarding Sundance B PPA, Market Rule Changes and No Harm Commitment (Peter Keohane).    Complaint filed with Market Surveillance Administrator regarding the Balancing Pool’s Clover Bar offer strategy (Peter Keohane).</w:t>
      </w:r>
    </w:p>
    <w:p>
      <w:pPr>
        <w:pStyle w:val="Normal"/>
        <w:numPr>
          <w:ilvl w:val="0"/>
          <w:numId w:val="1"/>
        </w:numPr>
        <w:tabs>
          <w:tab w:val="left" w:pos="720" w:leader="none"/>
        </w:tabs>
        <w:bidi w:val="0"/>
        <w:ind w:hanging="720" w:start="720"/>
        <w:jc w:val="both"/>
        <w:rPr>
          <w:rFonts w:ascii="Arial" w:hAnsi="Arial"/>
        </w:rPr>
      </w:pPr>
      <w:r>
        <w:rPr>
          <w:rFonts w:ascii="Arial" w:hAnsi="Arial"/>
        </w:rPr>
        <w:t xml:space="preserve">Competition Law Seminar – Completed for Calgary, December 4, 2000; scheduled for Toronto for </w:t>
      </w:r>
      <w:r>
        <w:rPr>
          <w:rFonts w:ascii="Arial" w:hAnsi="Arial"/>
          <w:strike/>
        </w:rPr>
        <w:t>{April,}</w:t>
      </w:r>
      <w:r>
        <w:rPr>
          <w:rFonts w:ascii="Arial" w:hAnsi="Arial"/>
        </w:rPr>
        <w:t xml:space="preserve"> </w:t>
      </w:r>
      <w:r>
        <w:rPr>
          <w:rFonts w:ascii="Arial" w:hAnsi="Arial"/>
          <w:u w:val="double"/>
        </w:rPr>
        <w:t>{May,}</w:t>
      </w:r>
      <w:r>
        <w:rPr>
          <w:rFonts w:ascii="Arial" w:hAnsi="Arial"/>
        </w:rPr>
        <w:t xml:space="preserve"> 2001 (Peter </w:t>
      </w:r>
      <w:r>
        <w:rPr>
          <w:rFonts w:ascii="Arial" w:hAnsi="Arial"/>
          <w:strike/>
        </w:rPr>
        <w:t>{Keohane)}</w:t>
      </w:r>
      <w:r>
        <w:rPr>
          <w:rFonts w:ascii="Arial" w:hAnsi="Arial"/>
        </w:rPr>
        <w:t xml:space="preserve"> </w:t>
      </w:r>
      <w:r>
        <w:rPr>
          <w:rFonts w:ascii="Arial" w:hAnsi="Arial"/>
          <w:u w:val="double"/>
        </w:rPr>
        <w:t>{Keohane/Chris Gaffney)}</w:t>
      </w:r>
      <w:r>
        <w:rPr>
          <w:rFonts w:ascii="Arial" w:hAnsi="Arial"/>
        </w:rPr>
        <w:t>.</w:t>
      </w:r>
    </w:p>
    <w:p>
      <w:pPr>
        <w:pStyle w:val="Normal"/>
        <w:numPr>
          <w:ilvl w:val="0"/>
          <w:numId w:val="1"/>
        </w:numPr>
        <w:tabs>
          <w:tab w:val="left" w:pos="720" w:leader="none"/>
        </w:tabs>
        <w:bidi w:val="0"/>
        <w:ind w:hanging="720" w:start="720"/>
        <w:jc w:val="both"/>
        <w:rPr>
          <w:rFonts w:ascii="Arial" w:hAnsi="Arial"/>
          <w:sz w:val="22"/>
        </w:rPr>
      </w:pPr>
      <w:r>
        <w:rPr>
          <w:rFonts w:ascii="Arial" w:hAnsi="Arial"/>
        </w:rPr>
        <w:t>NGX/Canadian Enerdata litigation (Peter Keohane) – Settlement discussions</w:t>
      </w:r>
      <w:r>
        <w:rPr>
          <w:rFonts w:ascii="Arial" w:hAnsi="Arial"/>
          <w:strike/>
        </w:rPr>
        <w:t>{. Exchange of draft Settlement Agreements providing for inclusion of EOL data into indices.}</w:t>
      </w:r>
      <w:r>
        <w:rPr>
          <w:rFonts w:ascii="Arial" w:hAnsi="Arial"/>
        </w:rPr>
        <w:t xml:space="preserve"> </w:t>
      </w:r>
      <w:r>
        <w:rPr>
          <w:rFonts w:ascii="Arial" w:hAnsi="Arial"/>
          <w:u w:val="double"/>
        </w:rPr>
        <w:t>{ongoing.</w:t>
      </w:r>
      <w:r>
        <w:rPr>
          <w:rFonts w:ascii="Arial" w:hAnsi="Arial"/>
          <w:sz w:val="22"/>
          <w:u w:val="double"/>
        </w:rPr>
        <w:t>}</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 COMPARISON OF HEADERS ------------------</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-HEADER 1-</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Page 3</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 COMPARISON OF FOOTERS ------------------</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-FOOTER 1-</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I:\</w:t>
      </w:r>
      <w:r>
        <w:rPr>
          <w:rFonts w:ascii="Arial" w:hAnsi="Arial"/>
          <w:strike/>
          <w:sz w:val="22"/>
        </w:rPr>
        <w:t>{Legal\DEPT\Reports\finance23.report.doc}</w:t>
      </w:r>
      <w:r>
        <w:rPr>
          <w:rFonts w:ascii="Arial" w:hAnsi="Arial"/>
          <w:sz w:val="22"/>
        </w:rPr>
        <w:t xml:space="preserve"> </w:t>
      </w:r>
      <w:r>
        <w:rPr>
          <w:rFonts w:ascii="Arial" w:hAnsi="Arial"/>
          <w:sz w:val="22"/>
          <w:u w:val="double"/>
        </w:rPr>
        <w:t>{legal\dept\reports\finance24.report.doc}</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-FOOTER 2-</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I:\</w:t>
      </w:r>
      <w:r>
        <w:rPr>
          <w:rFonts w:ascii="Arial" w:hAnsi="Arial"/>
          <w:strike/>
          <w:sz w:val="22"/>
        </w:rPr>
        <w:t>{Legal\DEPT\Reports\finance23.report.doc}</w:t>
      </w:r>
      <w:r>
        <w:rPr>
          <w:rFonts w:ascii="Arial" w:hAnsi="Arial"/>
          <w:sz w:val="22"/>
        </w:rPr>
        <w:t xml:space="preserve"> </w:t>
      </w:r>
      <w:r>
        <w:rPr>
          <w:rFonts w:ascii="Arial" w:hAnsi="Arial"/>
          <w:sz w:val="22"/>
          <w:u w:val="double"/>
        </w:rPr>
        <w:t>{legal\dept\reports\finance24.report.doc}</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A</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 xml:space="preserve">This redlined draft, generated by CompareRite (TM) - The Instant Redliner, shows the differences between - </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original document      : I:\LEGAL\DEPT\REPORTS\FINANCE23.REPORT.DOC</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and revised document: I:\LEGAL\DEPT\REPORTS\FINANCE24.REPORT.DOC</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CompareRite found      34 change(s) in the text</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CompareRite found        2 change(s) in the notes</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Deletions appear as Overstrike text surrounded by {}</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Additions appear as Double Underline text surrounded by {}</w:t>
      </w:r>
    </w:p>
    <w:sectPr>
      <w:headerReference w:type="even" r:id="rId2"/>
      <w:headerReference w:type="default" r:id="rId3"/>
      <w:headerReference w:type="first" r:id="rId4"/>
      <w:footerReference w:type="even" r:id="rId5"/>
      <w:footerReference w:type="default" r:id="rId6"/>
      <w:footerReference w:type="first" r:id="rId7"/>
      <w:type w:val="nextPage"/>
      <w:pgSz w:orient="landscape" w:w="15840" w:h="12240"/>
      <w:pgMar w:left="1440" w:right="1440" w:gutter="0" w:header="720" w:top="777" w:footer="288" w:bottom="72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Helv">
    <w:altName w:val="Arial"/>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bidi w:val="0"/>
      <w:jc w:val="start"/>
      <w:rPr>
        <w:rFonts w:ascii="Times New Roman" w:hAnsi="Times New Roman"/>
      </w:rPr>
    </w:pPr>
    <w:r>
      <w:rPr>
        <w:rFonts w:ascii="Arial Narrow" w:hAnsi="Arial Narrow"/>
        <w:sz w:val="16"/>
      </w:rPr>
      <w:fldChar w:fldCharType="begin"/>
    </w:r>
    <w:r>
      <w:rPr>
        <w:sz w:val="16"/>
        <w:rFonts w:ascii="Arial Narrow" w:hAnsi="Arial Narrow"/>
      </w:rPr>
      <w:instrText xml:space="preserve"> FILENAME \p </w:instrText>
    </w:r>
    <w:r>
      <w:rPr>
        <w:sz w:val="16"/>
        <w:rFonts w:ascii="Arial Narrow" w:hAnsi="Arial Narrow"/>
      </w:rPr>
      <w:fldChar w:fldCharType="separate"/>
    </w:r>
    <w:r>
      <w:rPr>
        <w:sz w:val="16"/>
        <w:rFonts w:ascii="Arial Narrow" w:hAnsi="Arial Narrow"/>
      </w:rPr>
      <w:t>/mnt/main-storage/datasets/enron-docs/doc/FINANCE_24_X_23_.REPORT.COMPARE.DOC</w:t>
    </w:r>
    <w:r>
      <w:rPr>
        <w:sz w:val="16"/>
        <w:rFonts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bidi w:val="0"/>
      <w:jc w:val="start"/>
      <w:rPr>
        <w:rFonts w:ascii="Times New Roman" w:hAnsi="Times New Roman"/>
      </w:rPr>
    </w:pPr>
    <w:r>
      <w:rPr>
        <w:rFonts w:ascii="Arial Narrow" w:hAnsi="Arial Narrow"/>
        <w:sz w:val="16"/>
      </w:rPr>
      <w:fldChar w:fldCharType="begin"/>
    </w:r>
    <w:r>
      <w:rPr>
        <w:sz w:val="16"/>
        <w:rFonts w:ascii="Arial Narrow" w:hAnsi="Arial Narrow"/>
      </w:rPr>
      <w:instrText xml:space="preserve"> FILENAME \p </w:instrText>
    </w:r>
    <w:r>
      <w:rPr>
        <w:sz w:val="16"/>
        <w:rFonts w:ascii="Arial Narrow" w:hAnsi="Arial Narrow"/>
      </w:rPr>
      <w:fldChar w:fldCharType="separate"/>
    </w:r>
    <w:r>
      <w:rPr>
        <w:sz w:val="16"/>
        <w:rFonts w:ascii="Arial Narrow" w:hAnsi="Arial Narrow"/>
      </w:rPr>
      <w:t>/mnt/main-storage/datasets/enron-docs/doc/FINANCE_24_X_23_.REPORT.COMPARE.DOC</w:t>
    </w:r>
    <w:r>
      <w:rPr>
        <w:sz w:val="16"/>
        <w:rFonts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Style w:val="PageNumber"/>
      </w:rPr>
    </w:pPr>
    <w:r>
      <w:rPr>
        <w:rFonts w:ascii="Arial" w:hAnsi="Arial"/>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Header"/>
      <w:bidi w:val="0"/>
      <w:jc w:val="end"/>
      <w:rPr>
        <w:rFonts w:ascii="Arial" w:hAnsi="Arial"/>
      </w:rPr>
    </w:pPr>
    <w:r>
      <w:rPr>
        <w:rFonts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Helv"/>
      <w:color w:val="auto"/>
      <w:kern w:val="2"/>
      <w:sz w:val="20"/>
      <w:szCs w:val="24"/>
      <w:lang w:val="en-CA" w:eastAsia="zh-CN" w:bidi="hi-IN"/>
    </w:rPr>
  </w:style>
  <w:style w:type="character" w:styleId="DefaultParagraphFont">
    <w:name w:val="Default Paragraph Font"/>
    <w:qFormat/>
    <w:rPr>
      <w:sz w:val="20"/>
    </w:rPr>
  </w:style>
  <w:style w:type="character" w:styleId="PageNumber">
    <w:name w:val="page number"/>
    <w:basedOn w:val="DefaultParagraphFont"/>
    <w:rPr>
      <w:rFonts w:ascii="Arial" w:hAnsi="Arial"/>
    </w:rPr>
  </w:style>
  <w:style w:type="character" w:styleId="Hyperlink">
    <w:name w:val="Hyperlink"/>
    <w:basedOn w:val="DefaultParagraphFont"/>
    <w:rPr>
      <w:color w:val="0000FF"/>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z w:val="20"/>
    </w:rPr>
  </w:style>
  <w:style w:type="paragraph" w:styleId="Footer">
    <w:name w:val="footer"/>
    <w:basedOn w:val="Normal"/>
    <w:pPr>
      <w:tabs>
        <w:tab w:val="clear" w:pos="720"/>
        <w:tab w:val="center" w:pos="4320" w:leader="none"/>
        <w:tab w:val="right" w:pos="8640" w:leader="none"/>
      </w:tabs>
    </w:pPr>
    <w:rPr>
      <w:sz w:val="20"/>
    </w:rPr>
  </w:style>
  <w:style w:type="paragraph" w:styleId="Title">
    <w:name w:val="Title"/>
    <w:basedOn w:val="Normal"/>
    <w:qFormat/>
    <w:pPr>
      <w:jc w:val="center"/>
    </w:pPr>
    <w:rPr>
      <w:rFonts w:ascii="Arial" w:hAnsi="Arial"/>
      <w:b/>
      <w:sz w:val="20"/>
      <w:u w:val="single"/>
    </w:rPr>
  </w:style>
  <w:style w:type="paragraph" w:styleId="Subtitle">
    <w:name w:val="Subtitle"/>
    <w:basedOn w:val="Normal"/>
    <w:qFormat/>
    <w:pPr/>
    <w:rPr>
      <w:rFonts w:ascii="Arial" w:hAnsi="Arial"/>
      <w:b/>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974</Words>
  <CharactersWithSpaces>5552</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2001-04-25T09:41:00Z</dcterms:created>
  <dc:creator>Linda Sietzema</dc:creator>
  <dc:description/>
  <dc:language>en-CA</dc:language>
  <cp:lastModifiedBy/>
  <cp:lastPrinted>2001-04-27T13:07:00Z</cp:lastPrinted>
  <dcterms:modified xsi:type="dcterms:W3CDTF">2001-04-27T13:07:00Z</dcterms:modified>
  <cp:revision>6</cp:revision>
  <dc:subject/>
  <dc:title>Legal Transaction Status Report – Enron NA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scrawfo3</vt:lpwstr>
  </property>
</Properties>
</file>