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jc w:val="start"/>
        <w:rPr>
          <w:b w:val="false"/>
          <w:u w:val="none"/>
        </w:rPr>
      </w:pPr>
      <w:r>
        <w:rPr>
          <w:b w:val="false"/>
          <w:u w:val="none"/>
        </w:rPr>
        <w:fldChar w:fldCharType="begin" w:fldLock="true"/>
      </w:r>
      <w:r>
        <w:rPr>
          <w:u w:val="none"/>
          <w:b w:val="false"/>
        </w:rPr>
        <w:instrText xml:space="preserve"> TIME \@"MMMM\ d', 'yyyy" </w:instrText>
      </w:r>
      <w:r>
        <w:rPr>
          <w:u w:val="none"/>
          <w:b w:val="false"/>
        </w:rPr>
        <w:fldChar w:fldCharType="separate"/>
      </w:r>
      <w:r>
        <w:rPr>
          <w:u w:val="none"/>
          <w:b w:val="false"/>
        </w:rPr>
        <w:t>September 28, 2025</w:t>
      </w:r>
      <w:r>
        <w:rPr>
          <w:u w:val="none"/>
          <w:b w:val="false"/>
        </w:rPr>
        <w:fldChar w:fldCharType="end"/>
      </w:r>
    </w:p>
    <w:p>
      <w:pPr>
        <w:pStyle w:val="Title"/>
        <w:bidi w:val="0"/>
        <w:rPr/>
      </w:pPr>
      <w:r>
        <w:rPr/>
      </w:r>
    </w:p>
    <w:p>
      <w:pPr>
        <w:pStyle w:val="Title"/>
        <w:bidi w:val="0"/>
        <w:rPr/>
      </w:pPr>
      <w:r>
        <w:rPr/>
        <w:t>LEGAL STATUS REPORT – ENRON CANADA</w:t>
      </w:r>
    </w:p>
    <w:p>
      <w:pPr>
        <w:pStyle w:val="Norma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STATUS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Alberta Power Purchase Auction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John Lavorato (Trading)</w:t>
            </w:r>
          </w:p>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rFonts w:ascii="Arial" w:hAnsi="Arial"/>
              </w:rPr>
            </w:pPr>
            <w:r>
              <w:rPr>
                <w:rFonts w:ascii="Arial" w:hAnsi="Arial"/>
              </w:rPr>
              <w:t>Derek Davies</w:t>
            </w:r>
          </w:p>
          <w:p>
            <w:pPr>
              <w:pStyle w:val="Normal"/>
              <w:tabs>
                <w:tab w:val="clear" w:pos="720"/>
              </w:tabs>
              <w:bidi w:val="0"/>
              <w:jc w:val="start"/>
              <w:rPr/>
            </w:pPr>
            <w:r>
              <w:rPr>
                <w:rFonts w:ascii="Arial" w:hAnsi="Arial"/>
              </w:rPr>
              <w:t>(Origination)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Enron Canada Power Corp. acquired the Sundance "B" PPA pursuant to the auction for 706 MW for a term of 20 years commencing January 1, 2001. Enron Canada Power’s qualification for participation in the Alberta Power Pool, and trading and origination transactions are being pursued and </w:t>
            </w:r>
            <w:r>
              <w:rPr>
                <w:rFonts w:ascii="Arial" w:hAnsi="Arial"/>
                <w:strike/>
              </w:rPr>
              <w:t>excused</w:t>
            </w:r>
            <w:r>
              <w:rPr>
                <w:rFonts w:ascii="Arial" w:hAnsi="Arial"/>
              </w:rPr>
              <w:t xml:space="preserve"> </w:t>
            </w:r>
            <w:r>
              <w:rPr>
                <w:rFonts w:ascii="Arial" w:hAnsi="Arial"/>
                <w:u w:val="double"/>
              </w:rPr>
              <w:t>{executed}</w:t>
            </w:r>
            <w:r>
              <w:rPr>
                <w:rFonts w:ascii="Arial" w:hAnsi="Arial"/>
              </w:rPr>
              <w:t xml:space="preserve"> with respect to the PPA for market deregulation commencing January 1, 2001.    </w:t>
            </w:r>
            <w:r>
              <w:rPr>
                <w:rFonts w:ascii="Arial" w:hAnsi="Arial"/>
                <w:u w:val="double"/>
              </w:rPr>
              <w:t>{The Government of Alberta has announced Plan "B" for the auction, in smaller blocks and for shorter terms, of the unsold power from the first auction (approximately 2,150 MWs) with Enron entitled to bid on approximately 400 MW due to PPA holding restrictions.}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Rob Milnthorp</w:t>
            </w:r>
          </w:p>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Ontario Market Opening (Projected for end of 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 xml:space="preserve">Peter Keohane </w:t>
            </w:r>
          </w:p>
          <w:p>
            <w:pPr>
              <w:pStyle w:val="Header"/>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Rob Milnthorp</w:t>
            </w:r>
          </w:p>
          <w:p>
            <w:pPr>
              <w:pStyle w:val="Header"/>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Ontario Market Opening (Projected for end of 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Firm PPAs being discussed with various counterparties to hedge British Energy position.    </w:t>
            </w:r>
            <w:r>
              <w:rPr>
                <w:rFonts w:ascii="Arial" w:hAnsi="Arial"/>
                <w:strike/>
              </w:rPr>
              <w:t>25</w:t>
            </w:r>
            <w:r>
              <w:rPr>
                <w:rFonts w:ascii="Arial" w:hAnsi="Arial"/>
              </w:rPr>
              <w:t xml:space="preserve"> </w:t>
            </w:r>
            <w:r>
              <w:rPr>
                <w:rFonts w:ascii="Arial" w:hAnsi="Arial"/>
                <w:u w:val="double"/>
              </w:rPr>
              <w:t>{20}</w:t>
            </w:r>
            <w:r>
              <w:rPr>
                <w:rFonts w:ascii="Arial" w:hAnsi="Arial"/>
              </w:rPr>
              <w:t xml:space="preserve"> MW </w:t>
            </w:r>
            <w:r>
              <w:rPr>
                <w:rFonts w:ascii="Arial" w:hAnsi="Arial"/>
                <w:u w:val="double"/>
              </w:rPr>
              <w:t>{(+16 MW option)}</w:t>
            </w:r>
            <w:r>
              <w:rPr>
                <w:rFonts w:ascii="Arial" w:hAnsi="Arial"/>
              </w:rPr>
              <w:t>, 3-year contract executed with Sunoco.    100 MW</w:t>
            </w:r>
            <w:r>
              <w:rPr>
                <w:rFonts w:ascii="Arial" w:hAnsi="Arial"/>
                <w:u w:val="double"/>
              </w:rPr>
              <w:t>{,}</w:t>
            </w:r>
            <w:r>
              <w:rPr>
                <w:rFonts w:ascii="Arial" w:hAnsi="Arial"/>
              </w:rPr>
              <w:t xml:space="preserve"> 2-year contract </w:t>
            </w:r>
            <w:r>
              <w:rPr>
                <w:rFonts w:ascii="Arial" w:hAnsi="Arial"/>
                <w:strike/>
              </w:rPr>
              <w:t>being negotiated</w:t>
            </w:r>
            <w:r>
              <w:rPr>
                <w:rFonts w:ascii="Arial" w:hAnsi="Arial"/>
              </w:rPr>
              <w:t xml:space="preserve"> </w:t>
            </w:r>
            <w:r>
              <w:rPr>
                <w:rFonts w:ascii="Arial" w:hAnsi="Arial"/>
                <w:u w:val="double"/>
              </w:rPr>
              <w:t>{executed}</w:t>
            </w:r>
            <w:r>
              <w:rPr>
                <w:rFonts w:ascii="Arial" w:hAnsi="Arial"/>
              </w:rPr>
              <w:t xml:space="preserve"> with TransCanada Energy.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Rob Milnthorp</w:t>
            </w:r>
          </w:p>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Commencing on Ontario Market Opening (Projected for 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services and alliance agreement executed.    Toronto office set-up and additional contracting arrangements ongoing for Market Opening.    Currently renegotiating services agreement </w:t>
            </w:r>
            <w:r>
              <w:rPr>
                <w:rFonts w:ascii="Arial" w:hAnsi="Arial"/>
                <w:u w:val="double"/>
              </w:rPr>
              <w:t>{and potential buy-out of non-compete restrictions}</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Year-end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Ongoing administration of estate wind-up and final dividend payment.    Final dividend expected for year-end 2000.</w:t>
            </w:r>
            <w:r>
              <w:rPr>
                <w:rFonts w:ascii="Arial" w:hAnsi="Arial"/>
                <w:u w:val="double"/>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Project Red Ball</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Year-end 2000/First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Pursuing long-term financing for acquisition of Alberta PPA with various institutions.}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Rob Milnthorp</w:t>
            </w:r>
          </w:p>
          <w:p>
            <w:pPr>
              <w:pStyle w:val="Normal"/>
              <w:tabs>
                <w:tab w:val="clear" w:pos="720"/>
              </w:tabs>
              <w:bidi w:val="0"/>
              <w:jc w:val="both"/>
              <w:rPr>
                <w:rFonts w:ascii="Arial" w:hAnsi="Arial"/>
              </w:rPr>
            </w:pPr>
            <w:r>
              <w:rPr>
                <w:rFonts w:ascii="Arial" w:hAnsi="Arial"/>
              </w:rPr>
              <w:t xml:space="preserve">Kyle Kitagawa </w:t>
            </w:r>
          </w:p>
          <w:p>
            <w:pPr>
              <w:pStyle w:val="Normal"/>
              <w:tabs>
                <w:tab w:val="clear" w:pos="720"/>
              </w:tabs>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Packaging project for sale (turbines, queue position, land option, permitting) to potential third 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Kyle Kitagawa</w:t>
            </w:r>
          </w:p>
          <w:p>
            <w:pPr>
              <w:pStyle w:val="Normal"/>
              <w:tabs>
                <w:tab w:val="clear" w:pos="720"/>
              </w:tabs>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Year-end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Ontario G-6 Municipalities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Eric Le Dain</w:t>
            </w:r>
          </w:p>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Ontario Market Opening (Projected for end of 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Non-binding letter of intent has been executed with respect to supplying the G-6 municipalities or their Retail Affiliate with gas and electricity (on an exclusive basis) and energy management and supply services.    Energy supply and portfolio management services agreements and master physical power and gas trading agreements under negotiation.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Government of Ontario NUG</w:t>
            </w:r>
          </w:p>
          <w:p>
            <w:pPr>
              <w:pStyle w:val="Normal"/>
              <w:tabs>
                <w:tab w:val="clear" w:pos="720"/>
              </w:tabs>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 </w:t>
            </w:r>
            <w:r>
              <w:rPr>
                <w:rFonts w:ascii="Arial" w:hAnsi="Arial"/>
                <w:strike/>
              </w:rPr>
              <w:t>RFP winner to be announced Oct. 30</w:t>
            </w:r>
            <w:r>
              <w:rPr>
                <w:rFonts w:ascii="Arial" w:hAnsi="Arial"/>
              </w:rPr>
              <w:t xml:space="preserve"> </w:t>
            </w:r>
            <w:r>
              <w:rPr>
                <w:rFonts w:ascii="Arial" w:hAnsi="Arial"/>
                <w:u w:val="double"/>
              </w:rPr>
              <w:t>{Definitive Agreement expected to be executed by December}</w:t>
            </w:r>
            <w:r>
              <w:rPr>
                <w:rFonts w:ascii="Arial" w:hAnsi="Arial"/>
              </w:rPr>
              <w:t>,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RFP for management of the Non-Utility Generation Contracts on behalf of the Government of Ontario.    Enron Canada has been </w:t>
            </w:r>
            <w:r>
              <w:rPr>
                <w:rFonts w:ascii="Arial" w:hAnsi="Arial"/>
                <w:strike/>
              </w:rPr>
              <w:t>short listed</w:t>
            </w:r>
            <w:r>
              <w:rPr>
                <w:rFonts w:ascii="Arial" w:hAnsi="Arial"/>
              </w:rPr>
              <w:t xml:space="preserve"> </w:t>
            </w:r>
            <w:r>
              <w:rPr>
                <w:rFonts w:ascii="Arial" w:hAnsi="Arial"/>
                <w:u w:val="double"/>
              </w:rPr>
              <w:t>{awarded RFP.    Negotiation and execution of Definitive Agreement to be completed.}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Master Power</w:t>
            </w:r>
          </w:p>
          <w:p>
            <w:pPr>
              <w:pStyle w:val="Normal"/>
              <w:tabs>
                <w:tab w:val="clear" w:pos="720"/>
              </w:tabs>
              <w:bidi w:val="0"/>
              <w:jc w:val="both"/>
              <w:rPr/>
            </w:pPr>
            <w:r>
              <w:rPr>
                <w:rFonts w:ascii="Arial" w:hAnsi="Arial"/>
              </w:rPr>
              <w:t>Contract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Jon McKay</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Year End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Preparation of Canadian standard form </w:t>
            </w:r>
            <w:r>
              <w:rPr>
                <w:rFonts w:ascii="Arial" w:hAnsi="Arial"/>
                <w:u w:val="double"/>
              </w:rPr>
              <w:t>{EEI}</w:t>
            </w:r>
            <w:r>
              <w:rPr>
                <w:rFonts w:ascii="Arial" w:hAnsi="Arial"/>
              </w:rPr>
              <w:t xml:space="preserve"> master physical power trading agreement. </w:t>
            </w:r>
            <w:r>
              <w:rPr>
                <w:rFonts w:ascii="Arial" w:hAnsi="Arial"/>
                <w:strike/>
              </w:rPr>
              <w:t>Third draft circulated for comments.</w:t>
            </w:r>
            <w:r>
              <w:rPr>
                <w:rFonts w:ascii="Arial" w:hAnsi="Arial"/>
              </w:rPr>
              <w:t xml:space="preserve"> </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Master Amendment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 </w:t>
            </w:r>
            <w:r>
              <w:rPr>
                <w:rFonts w:ascii="Arial" w:hAnsi="Arial"/>
                <w:strike/>
              </w:rPr>
              <w:t>Year-end 2000</w:t>
            </w:r>
            <w:r>
              <w:rPr>
                <w:rFonts w:ascii="Arial" w:hAnsi="Arial"/>
              </w:rPr>
              <w:t xml:space="preserve"> </w:t>
            </w:r>
            <w:r>
              <w:rPr>
                <w:rFonts w:ascii="Arial" w:hAnsi="Arial"/>
                <w:u w:val="double"/>
              </w:rPr>
              <w:t>{On-going}</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Preparation and negotiation of amendments to 37 Master Firm Gas Purchase/Sale Agreements (including specific transportation assignments and collateral and netting agreements) to reflect revised credit terms and recent changes in Canadian insolvency and commercial laws.    </w:t>
            </w:r>
            <w:r>
              <w:rPr>
                <w:rFonts w:ascii="Arial" w:hAnsi="Arial"/>
                <w:u w:val="double"/>
              </w:rPr>
              <w:t>{We are preparing amended and restated Master Agreements for the 9 remaining counterparties for which the commercial people have yet to deliver.}</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Rob Milnthorp</w:t>
            </w:r>
          </w:p>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Ongoing monitoring of TMP construction, equity investments and loan guarantees.    Currently reviewing acquisition/disposition opportunities.    </w:t>
            </w:r>
            <w:r>
              <w:rPr>
                <w:rFonts w:ascii="Arial" w:hAnsi="Arial"/>
                <w:u w:val="double"/>
              </w:rPr>
              <w:t>{Negotiating term sheet for potential buy-out of other shareholders.}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Ongoing monitoring of equity and debt investments. </w:t>
            </w:r>
            <w:r>
              <w:rPr>
                <w:rFonts w:ascii="Arial" w:hAnsi="Arial"/>
                <w:strike/>
              </w:rPr>
              <w:t>Waterous Securities engaged for sale,</w:t>
            </w:r>
            <w:r>
              <w:rPr>
                <w:rFonts w:ascii="Arial" w:hAnsi="Arial"/>
              </w:rPr>
              <w:t xml:space="preserve"> </w:t>
            </w:r>
            <w:r>
              <w:rPr>
                <w:rFonts w:ascii="Arial" w:hAnsi="Arial"/>
                <w:u w:val="double"/>
              </w:rPr>
              <w:t>{Sale}</w:t>
            </w:r>
            <w:r>
              <w:rPr>
                <w:rFonts w:ascii="Arial" w:hAnsi="Arial"/>
              </w:rPr>
              <w:t xml:space="preserve"> anticipated for 4</w:t>
            </w:r>
            <w:r>
              <w:rPr>
                <w:rFonts w:ascii="Arial" w:hAnsi="Arial"/>
                <w:vertAlign w:val="superscript"/>
              </w:rPr>
              <w:t>th</w:t>
            </w:r>
            <w:r>
              <w:rPr>
                <w:rFonts w:ascii="Arial" w:hAnsi="Arial"/>
              </w:rPr>
              <w:t xml:space="preserve"> Qtr. 2000.</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Nitrochem</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Jeff Borg</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Non-binding letter of intent regarding the provision of energy supply, portfolio, a risk management and settlement services and cogeneration development has been executed.    Revising draft power supply contract.    Preparing draft services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Sunoco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4</w:t>
            </w:r>
            <w:r>
              <w:rPr>
                <w:rFonts w:ascii="Arial" w:hAnsi="Arial"/>
                <w:vertAlign w:val="superscript"/>
              </w:rPr>
              <w:t>th</w:t>
            </w:r>
            <w:r>
              <w:rPr>
                <w:rFonts w:ascii="Arial" w:hAnsi="Arial"/>
              </w:rPr>
              <w:t xml:space="preserve"> Qtr.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Negotiating Energy Services Agreement. </w:t>
            </w:r>
            <w:r>
              <w:rPr>
                <w:rFonts w:ascii="Arial" w:hAnsi="Arial"/>
                <w:strike/>
              </w:rPr>
              <w:t xml:space="preserve"> Piper Energy Inc. Mark Powell Cyntia Pastega 4th Qtr. Negotiation of gas management services agreement for British Columbia production.</w:t>
            </w:r>
            <w:r>
              <w:rPr>
                <w:rFonts w:ascii="Arial" w:hAnsi="Arial"/>
              </w:rPr>
              <w:t xml:space="preserve"> </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CNR, Beau, Tenaska, Encal &amp; others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Derek Davies</w:t>
            </w:r>
          </w:p>
          <w:p>
            <w:pPr>
              <w:pStyle w:val="Normal"/>
              <w:tabs>
                <w:tab w:val="clear" w:pos="720"/>
              </w:tabs>
              <w:bidi w:val="0"/>
              <w:jc w:val="both"/>
              <w:rPr/>
            </w:pPr>
            <w:r>
              <w:rPr>
                <w:rFonts w:ascii="Arial" w:hAnsi="Arial"/>
              </w:rPr>
              <w:t>Kevin Heal</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 </w:t>
            </w:r>
            <w:r>
              <w:rPr>
                <w:rFonts w:ascii="Arial" w:hAnsi="Arial"/>
                <w:strike/>
              </w:rPr>
              <w:t>Nov. 1,</w:t>
            </w:r>
            <w:r>
              <w:rPr>
                <w:rFonts w:ascii="Arial" w:hAnsi="Arial"/>
              </w:rPr>
              <w:t xml:space="preserve"> </w:t>
            </w:r>
            <w:r>
              <w:rPr>
                <w:rFonts w:ascii="Arial" w:hAnsi="Arial"/>
                <w:u w:val="double"/>
              </w:rPr>
              <w:t>{4</w:t>
            </w:r>
            <w:r>
              <w:rPr>
                <w:rFonts w:ascii="Arial" w:hAnsi="Arial"/>
                <w:u w:val="double"/>
                <w:vertAlign w:val="superscript"/>
              </w:rPr>
              <w:t>th</w:t>
            </w:r>
            <w:r>
              <w:rPr>
                <w:rFonts w:ascii="Arial" w:hAnsi="Arial"/>
              </w:rPr>
              <w:t xml:space="preserve"> </w:t>
            </w:r>
            <w:r>
              <w:rPr>
                <w:rFonts w:ascii="Arial" w:hAnsi="Arial"/>
                <w:u w:val="double"/>
              </w:rPr>
              <w:t>Qtr.}</w:t>
            </w:r>
            <w:r>
              <w:rPr>
                <w:rFonts w:ascii="Arial" w:hAnsi="Arial"/>
              </w:rPr>
              <w:t xml:space="preserve">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 </w:t>
            </w:r>
            <w:r>
              <w:rPr>
                <w:rFonts w:ascii="Arial" w:hAnsi="Arial"/>
                <w:strike/>
              </w:rPr>
              <w:t>Coordination and review</w:t>
            </w:r>
            <w:r>
              <w:rPr>
                <w:rFonts w:ascii="Arial" w:hAnsi="Arial"/>
              </w:rPr>
              <w:t xml:space="preserve"> </w:t>
            </w:r>
            <w:r>
              <w:rPr>
                <w:rFonts w:ascii="Arial" w:hAnsi="Arial"/>
                <w:u w:val="double"/>
              </w:rPr>
              <w:t>{Organization}</w:t>
            </w:r>
            <w:r>
              <w:rPr>
                <w:rFonts w:ascii="Arial" w:hAnsi="Arial"/>
              </w:rPr>
              <w:t xml:space="preserve"> of numerous temporary assignments of pipeline capacity.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JCG Resources Ltd.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Mark Powell</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Cyntia Pastega</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Coordination and confirmation of transactions and agreements between Contour Energy Ltd., Troodon Energy Ltd. and JCG Resources Ltd.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Rob Milnthorp</w:t>
            </w:r>
          </w:p>
          <w:p>
            <w:pPr>
              <w:pStyle w:val="Normal"/>
              <w:tabs>
                <w:tab w:val="clear" w:pos="720"/>
              </w:tabs>
              <w:bidi w:val="0"/>
              <w:jc w:val="both"/>
              <w:rPr/>
            </w:pPr>
            <w:r>
              <w:rPr>
                <w:rFonts w:ascii="Arial" w:hAnsi="Arial"/>
              </w:rPr>
              <w:t>Dave Pope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Unknown</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Creation, qualification and preparation relating to a retail energy affiliate for Canadian jurisdictions.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Cadillac Fairview</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Jeff Borg</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4</w:t>
            </w:r>
            <w:r>
              <w:rPr>
                <w:rFonts w:ascii="Arial" w:hAnsi="Arial"/>
                <w:vertAlign w:val="superscript"/>
              </w:rPr>
              <w:t>th</w:t>
            </w:r>
            <w:r>
              <w:rPr>
                <w:rFonts w:ascii="Arial" w:hAnsi="Arial"/>
              </w:rPr>
              <w:t xml:space="preserve"> Qtr.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Non binding letter of intent has been executed.    Preparing draft wholesale Electricity Management Services Agreement.    Draft power supply agreement has been circulated.    Exclusivity in place until November, 2000.</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Bowater</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Jeff Borg</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4</w:t>
            </w:r>
            <w:r>
              <w:rPr>
                <w:rFonts w:ascii="Arial" w:hAnsi="Arial"/>
                <w:vertAlign w:val="superscript"/>
              </w:rPr>
              <w:t>th</w:t>
            </w:r>
            <w:r>
              <w:rPr>
                <w:rFonts w:ascii="Arial" w:hAnsi="Arial"/>
              </w:rPr>
              <w:t xml:space="preserve"> Qtr.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Preparing draft wholesale Electricity Management Services Agreement.    Draft power supply agreement has been circulated.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 </w:t>
            </w:r>
            <w:r>
              <w:rPr>
                <w:rFonts w:ascii="Arial" w:hAnsi="Arial"/>
                <w:strike/>
              </w:rPr>
              <w:t>TransCanada</w:t>
            </w:r>
            <w:r>
              <w:rPr>
                <w:rFonts w:ascii="Arial" w:hAnsi="Arial"/>
              </w:rPr>
              <w:t xml:space="preserve"> </w:t>
            </w:r>
            <w:r>
              <w:rPr>
                <w:rFonts w:ascii="Arial" w:hAnsi="Arial"/>
                <w:u w:val="double"/>
              </w:rPr>
              <w:t>{Ontario Standard Form Physical Bilateral}</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pPr>
            <w:r>
              <w:rPr>
                <w:rFonts w:ascii="Arial" w:hAnsi="Arial"/>
                <w:strike/>
              </w:rPr>
              <w:t xml:space="preserve"> </w:t>
            </w:r>
            <w:r>
              <w:rPr>
                <w:rFonts w:ascii="Arial" w:hAnsi="Arial"/>
                <w:strike/>
              </w:rPr>
              <w:t>Oct., 2000 Finalizing 2 year 100 MW power purchase and sale transaction (back to back with British Energy Supply)</w:t>
            </w:r>
            <w:r>
              <w:rPr>
                <w:rFonts w:ascii="Arial" w:hAnsi="Arial"/>
              </w:rPr>
              <w:t xml:space="preserve"> </w:t>
            </w:r>
            <w:r>
              <w:rPr>
                <w:rFonts w:ascii="Arial" w:hAnsi="Arial"/>
                <w:u w:val="double"/>
              </w:rPr>
              <w:t>{Garrett Tripp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Participation in industry project to develop a standard power trading document.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Tax Mitigation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u w:val="double"/>
              </w:rPr>
            </w:pPr>
            <w:r>
              <w:rPr>
                <w:rFonts w:ascii="Arial" w:hAnsi="Arial"/>
                <w:u w:val="double"/>
              </w:rPr>
              <w:t>Peter Keohane</w:t>
            </w:r>
          </w:p>
          <w:p>
            <w:pPr>
              <w:pStyle w:val="Normal"/>
              <w:tabs>
                <w:tab w:val="clear" w:pos="720"/>
              </w:tabs>
              <w:bidi w:val="0"/>
              <w:jc w:val="both"/>
              <w:rPr/>
            </w:pPr>
            <w:r>
              <w:rPr>
                <w:rFonts w:ascii="Arial" w:hAnsi="Arial"/>
                <w:u w:val="double"/>
              </w:rPr>
              <w:t>Morris Clark</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Year-end 2000</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Pursuing various tax deferral or tax write-off structures}</w:t>
            </w:r>
            <w:r>
              <w:rPr>
                <w:rFonts w:ascii="Arial" w:hAnsi="Arial"/>
              </w:rPr>
              <w:t>.</w:t>
            </w:r>
          </w:p>
        </w:tc>
      </w:tr>
    </w:tbl>
    <w:p>
      <w:pPr>
        <w:pStyle w:val="Normal"/>
        <w:bidi w:val="0"/>
        <w:jc w:val="both"/>
        <w:rPr>
          <w:rFonts w:ascii="Arial" w:hAnsi="Arial"/>
        </w:rPr>
      </w:pPr>
      <w:r>
        <w:rPr>
          <w:rFonts w:ascii="Arial" w:hAnsi="Arial"/>
        </w:rPr>
      </w:r>
    </w:p>
    <w:p>
      <w:pPr>
        <w:pStyle w:val="Normal"/>
        <w:bidi w:val="0"/>
        <w:jc w:val="both"/>
        <w:rPr>
          <w:rFonts w:ascii="Arial" w:hAnsi="Arial"/>
          <w:sz w:val="22"/>
        </w:rPr>
      </w:pPr>
      <w:r>
        <w:rPr>
          <w:rFonts w:ascii="Arial" w:hAnsi="Arial"/>
          <w:sz w:val="22"/>
        </w:rPr>
      </w:r>
    </w:p>
    <w:p>
      <w:pPr>
        <w:pStyle w:val="Normal"/>
        <w:bidi w:val="0"/>
        <w:jc w:val="both"/>
        <w:rPr>
          <w:rFonts w:ascii="Arial" w:hAnsi="Arial"/>
          <w:sz w:val="22"/>
        </w:rPr>
      </w:pPr>
      <w:r>
        <w:rPr>
          <w:rFonts w:ascii="Arial" w:hAnsi="Arial"/>
          <w:sz w:val="22"/>
        </w:rPr>
      </w:r>
    </w:p>
    <w:p>
      <w:pPr>
        <w:pStyle w:val="Normal"/>
        <w:bidi w:val="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bidi w:val="0"/>
        <w:jc w:val="both"/>
        <w:rPr>
          <w:rFonts w:ascii="Arial" w:hAnsi="Arial"/>
          <w:sz w:val="22"/>
        </w:rPr>
      </w:pPr>
      <w:r>
        <w:rPr>
          <w:rFonts w:ascii="Arial" w:hAnsi="Arial"/>
          <w:sz w:val="22"/>
        </w:rPr>
        <w:t>original document      : I:\LEGAL\DEPT\REPORTS\FINANCE13.REPORT.DOC</w:t>
      </w:r>
    </w:p>
    <w:p>
      <w:pPr>
        <w:pStyle w:val="Normal"/>
        <w:bidi w:val="0"/>
        <w:jc w:val="both"/>
        <w:rPr>
          <w:rFonts w:ascii="Arial" w:hAnsi="Arial"/>
          <w:sz w:val="22"/>
        </w:rPr>
      </w:pPr>
      <w:r>
        <w:rPr>
          <w:rFonts w:ascii="Arial" w:hAnsi="Arial"/>
          <w:sz w:val="22"/>
        </w:rPr>
        <w:t>and revised document: I:\LEGAL\DEPT\REPORTS\FINANCE14.NOV13.REPORT.DOC</w:t>
      </w:r>
    </w:p>
    <w:p>
      <w:pPr>
        <w:pStyle w:val="Normal"/>
        <w:bidi w:val="0"/>
        <w:jc w:val="both"/>
        <w:rPr>
          <w:rFonts w:ascii="Arial" w:hAnsi="Arial"/>
          <w:sz w:val="22"/>
        </w:rPr>
      </w:pPr>
      <w:r>
        <w:rPr>
          <w:rFonts w:ascii="Arial" w:hAnsi="Arial"/>
          <w:sz w:val="22"/>
        </w:rPr>
      </w:r>
    </w:p>
    <w:p>
      <w:pPr>
        <w:pStyle w:val="Normal"/>
        <w:bidi w:val="0"/>
        <w:jc w:val="both"/>
        <w:rPr>
          <w:rFonts w:ascii="Arial" w:hAnsi="Arial"/>
          <w:sz w:val="22"/>
        </w:rPr>
      </w:pPr>
      <w:r>
        <w:rPr>
          <w:rFonts w:ascii="Arial" w:hAnsi="Arial"/>
          <w:sz w:val="22"/>
        </w:rPr>
        <w:t>CompareRite found      22 change(s) in the text</w:t>
      </w:r>
    </w:p>
    <w:p>
      <w:pPr>
        <w:pStyle w:val="Normal"/>
        <w:bidi w:val="0"/>
        <w:jc w:val="both"/>
        <w:rPr>
          <w:rFonts w:ascii="Arial" w:hAnsi="Arial"/>
          <w:sz w:val="22"/>
        </w:rPr>
      </w:pPr>
      <w:r>
        <w:rPr>
          <w:rFonts w:ascii="Arial" w:hAnsi="Arial"/>
          <w:sz w:val="22"/>
        </w:rPr>
      </w:r>
    </w:p>
    <w:p>
      <w:pPr>
        <w:pStyle w:val="Normal"/>
        <w:bidi w:val="0"/>
        <w:jc w:val="both"/>
        <w:rPr>
          <w:rFonts w:ascii="Arial" w:hAnsi="Arial"/>
          <w:sz w:val="22"/>
        </w:rPr>
      </w:pPr>
      <w:r>
        <w:rPr>
          <w:rFonts w:ascii="Arial" w:hAnsi="Arial"/>
          <w:sz w:val="22"/>
        </w:rPr>
        <w:t xml:space="preserve">Deletions appear as Overstrike text </w:t>
      </w:r>
    </w:p>
    <w:p>
      <w:pPr>
        <w:pStyle w:val="Normal"/>
        <w:bidi w:val="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1440" w:footer="432"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/mnt/main-storage/datasets/enron-docs/doc/FINANCE_13X14_.BLACKLINE-841eb23c3d97c213724f2e2e26b9a074adf04c9b84e710424ec8003edf64729b.DOC</w:t>
    </w:r>
    <w:r>
      <w:rPr>
        <w:sz w:val="16"/>
        <w:rFonts w:ascii="Arial Narrow" w:hAnsi="Arial Narrow"/>
      </w:rPr>
      <w:fldChar w:fldCharType="end"/>
    </w:r>
    <w:r>
      <w:rPr>
        <w:rFonts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/mnt/main-storage/datasets/enron-docs/doc/FINANCE_13X14_.BLACKLINE-841eb23c3d97c213724f2e2e26b9a074adf04c9b84e710424ec8003edf64729b.DOC</w:t>
    </w:r>
    <w:r>
      <w:rPr>
        <w:sz w:val="16"/>
        <w:rFonts w:ascii="Arial Narrow" w:hAnsi="Arial Narrow"/>
      </w:rPr>
      <w:fldChar w:fldCharType="end"/>
    </w:r>
    <w:r>
      <w:rPr>
        <w:rFonts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4"/>
      </w:rPr>
    </w:pPr>
    <w:r>
      <w:rPr>
        <w:sz w:val="24"/>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Arial Narrow"/>
      <w:color w:val="auto"/>
      <w:kern w:val="2"/>
      <w:sz w:val="20"/>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1004</Words>
  <CharactersWithSpaces>5725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2000-11-08T08:47:00Z</dcterms:created>
  <dc:creator>Linda Sietzema</dc:creator>
  <dc:description/>
  <dc:language>en-CA</dc:language>
  <cp:lastModifiedBy/>
  <cp:lastPrinted>2000-11-09T16:45:00Z</cp:lastPrinted>
  <dcterms:modified xsi:type="dcterms:W3CDTF">2000-11-09T16:46:00Z</dcterms:modified>
  <cp:revision>10</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