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bidi w:val="0"/>
        <w:jc w:val="start"/>
        <w:rPr>
          <w:b w:val="false"/>
          <w:u w:val="none"/>
        </w:rPr>
      </w:pPr>
      <w:r>
        <w:rPr>
          <w:b w:val="false"/>
          <w:strike/>
          <w:u w:val="none"/>
        </w:rPr>
        <w:t>{April 27}</w:t>
      </w:r>
      <w:r>
        <w:rPr>
          <w:b w:val="false"/>
          <w:u w:val="none"/>
        </w:rPr>
        <w:t xml:space="preserve"> </w:t>
      </w:r>
      <w:r>
        <w:rPr>
          <w:b w:val="false"/>
          <w:u w:val="double"/>
        </w:rPr>
        <w:t>{May 11}</w:t>
      </w:r>
      <w:r>
        <w:rPr>
          <w:b w:val="false"/>
          <w:u w:val="none"/>
        </w:rPr>
        <w:t>, 2001</w:t>
      </w:r>
    </w:p>
    <w:p>
      <w:pPr>
        <w:pStyle w:val="Title"/>
        <w:bidi w:val="0"/>
        <w:jc w:val="center"/>
        <w:rPr/>
      </w:pPr>
      <w:r>
        <w:rPr/>
        <w:t>LEGAL STATUS REPORT – ENRON CANADA</w:t>
      </w:r>
    </w:p>
    <w:p>
      <w:pPr>
        <w:pStyle w:val="Normal"/>
        <w:bidi w:val="0"/>
        <w:jc w:val="both"/>
        <w:rPr>
          <w:rFonts w:ascii="Arial" w:hAnsi="Arial"/>
        </w:rPr>
      </w:pPr>
      <w:r>
        <w:rPr>
          <w:rFonts w:ascii="Arial" w:hAnsi="Arial"/>
        </w:rPr>
      </w:r>
    </w:p>
    <w:tbl>
      <w:tblPr>
        <w:tblW w:w="13158" w:type="dxa"/>
        <w:jc w:val="start"/>
        <w:tblInd w:w="7" w:type="dxa"/>
        <w:tblLayout w:type="fixed"/>
        <w:tblCellMar>
          <w:top w:w="0" w:type="dxa"/>
          <w:start w:w="108" w:type="dxa"/>
          <w:bottom w:w="0" w:type="dxa"/>
          <w:end w:w="108" w:type="dxa"/>
        </w:tblCellMar>
      </w:tblPr>
      <w:tblGrid>
        <w:gridCol w:w="2177"/>
        <w:gridCol w:w="1891"/>
        <w:gridCol w:w="1889"/>
        <w:gridCol w:w="1711"/>
        <w:gridCol w:w="5490"/>
      </w:tblGrid>
      <w:tr>
        <w:trPr>
          <w:tblHeader w:val="true"/>
        </w:trPr>
        <w:tc>
          <w:tcPr>
            <w:tcW w:w="2177" w:type="dxa"/>
            <w:tcBorders>
              <w:top w:val="single" w:sz="6" w:space="0" w:color="000000"/>
              <w:start w:val="single" w:sz="6" w:space="0" w:color="000000"/>
              <w:bottom w:val="single" w:sz="6" w:space="0" w:color="000000"/>
              <w:end w:val="single" w:sz="6" w:space="0" w:color="000000"/>
            </w:tcBorders>
          </w:tcPr>
          <w:p>
            <w:pPr>
              <w:pStyle w:val="Subtitle"/>
              <w:tabs>
                <w:tab w:val="clear" w:pos="720"/>
              </w:tabs>
              <w:bidi w:val="0"/>
              <w:jc w:val="start"/>
              <w:rPr/>
            </w:pPr>
            <w:r>
              <w:rPr/>
              <w:t>PROJECT</w:t>
            </w:r>
          </w:p>
        </w:tc>
        <w:tc>
          <w:tcPr>
            <w:tcW w:w="189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center"/>
              <w:rPr/>
            </w:pPr>
            <w:r>
              <w:rPr>
                <w:rFonts w:ascii="Arial" w:hAnsi="Arial"/>
                <w:b/>
              </w:rPr>
              <w:t>RESPONSIBLE ATTORNEY</w:t>
            </w:r>
          </w:p>
        </w:tc>
        <w:tc>
          <w:tcPr>
            <w:tcW w:w="18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center"/>
              <w:rPr/>
            </w:pPr>
            <w:r>
              <w:rPr>
                <w:rFonts w:ascii="Arial" w:hAnsi="Arial"/>
                <w:b/>
              </w:rPr>
              <w:t>BUSINESS PERSON</w:t>
            </w:r>
          </w:p>
        </w:tc>
        <w:tc>
          <w:tcPr>
            <w:tcW w:w="171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center"/>
              <w:rPr/>
            </w:pPr>
            <w:r>
              <w:rPr>
                <w:rFonts w:ascii="Arial" w:hAnsi="Arial"/>
                <w:b/>
              </w:rPr>
              <w:t>PROJECTED CLOSING</w:t>
            </w:r>
          </w:p>
        </w:tc>
        <w:tc>
          <w:tcPr>
            <w:tcW w:w="5490"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center"/>
              <w:rPr/>
            </w:pPr>
            <w:r>
              <w:rPr>
                <w:rFonts w:ascii="Arial" w:hAnsi="Arial"/>
                <w:b/>
              </w:rPr>
              <w:t>STATUS</w:t>
            </w:r>
          </w:p>
        </w:tc>
      </w:tr>
      <w:tr>
        <w:trPr/>
        <w:tc>
          <w:tcPr>
            <w:tcW w:w="21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start"/>
              <w:rPr/>
            </w:pPr>
            <w:r>
              <w:rPr>
                <w:rFonts w:ascii="Arial" w:hAnsi="Arial"/>
              </w:rPr>
              <w:t>Project Redford</w:t>
            </w:r>
          </w:p>
        </w:tc>
        <w:tc>
          <w:tcPr>
            <w:tcW w:w="189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Peter Keohane</w:t>
            </w:r>
          </w:p>
        </w:tc>
        <w:tc>
          <w:tcPr>
            <w:tcW w:w="18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rFonts w:ascii="Arial" w:hAnsi="Arial"/>
              </w:rPr>
            </w:pPr>
            <w:r>
              <w:rPr>
                <w:rFonts w:ascii="Arial" w:hAnsi="Arial"/>
              </w:rPr>
              <w:t>Rob Milnthorp</w:t>
            </w:r>
          </w:p>
          <w:p>
            <w:pPr>
              <w:pStyle w:val="Normal"/>
              <w:tabs>
                <w:tab w:val="clear" w:pos="720"/>
              </w:tabs>
              <w:bidi w:val="0"/>
              <w:jc w:val="start"/>
              <w:rPr>
                <w:rFonts w:ascii="Arial" w:hAnsi="Arial"/>
              </w:rPr>
            </w:pPr>
            <w:r>
              <w:rPr>
                <w:rFonts w:ascii="Arial" w:hAnsi="Arial"/>
              </w:rPr>
              <w:t>Derek Davies</w:t>
            </w:r>
          </w:p>
          <w:p>
            <w:pPr>
              <w:pStyle w:val="Normal"/>
              <w:tabs>
                <w:tab w:val="clear" w:pos="720"/>
              </w:tabs>
              <w:bidi w:val="0"/>
              <w:jc w:val="start"/>
              <w:rPr>
                <w:rFonts w:ascii="Arial" w:hAnsi="Arial"/>
              </w:rPr>
            </w:pPr>
            <w:r>
              <w:rPr>
                <w:rFonts w:ascii="Arial" w:hAnsi="Arial"/>
              </w:rPr>
              <w:t>John Zufferli</w:t>
            </w:r>
          </w:p>
          <w:p>
            <w:pPr>
              <w:pStyle w:val="Normal"/>
              <w:tabs>
                <w:tab w:val="clear" w:pos="720"/>
              </w:tabs>
              <w:bidi w:val="0"/>
              <w:jc w:val="start"/>
              <w:rPr/>
            </w:pPr>
            <w:r>
              <w:rPr>
                <w:rFonts w:ascii="Arial" w:hAnsi="Arial"/>
              </w:rPr>
              <w:t>Kyle Kitagawa</w:t>
            </w:r>
          </w:p>
        </w:tc>
        <w:tc>
          <w:tcPr>
            <w:tcW w:w="1711"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start"/>
              <w:rPr/>
            </w:pPr>
            <w:r>
              <w:rPr>
                <w:rFonts w:ascii="Arial" w:hAnsi="Arial"/>
              </w:rPr>
              <w:t>Not Applicable</w:t>
            </w:r>
          </w:p>
        </w:tc>
        <w:tc>
          <w:tcPr>
            <w:tcW w:w="549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both"/>
              <w:rPr>
                <w:rFonts w:ascii="Arial" w:hAnsi="Arial"/>
                <w:strike/>
              </w:rPr>
            </w:pPr>
            <w:r>
              <w:rPr>
                <w:rFonts w:ascii="Arial" w:hAnsi="Arial"/>
              </w:rPr>
              <w:t xml:space="preserve">Potential sale or origination </w:t>
            </w:r>
            <w:r>
              <w:rPr>
                <w:rFonts w:ascii="Arial" w:hAnsi="Arial"/>
                <w:u w:val="double"/>
              </w:rPr>
              <w:t>{transactions}</w:t>
            </w:r>
            <w:r>
              <w:rPr>
                <w:rFonts w:ascii="Arial" w:hAnsi="Arial"/>
              </w:rPr>
              <w:t xml:space="preserve"> with market participants for </w:t>
            </w:r>
            <w:r>
              <w:rPr>
                <w:rFonts w:ascii="Arial" w:hAnsi="Arial"/>
                <w:strike/>
              </w:rPr>
              <w:t>{one-half (one Unit) of}</w:t>
            </w:r>
            <w:r>
              <w:rPr>
                <w:rFonts w:ascii="Arial" w:hAnsi="Arial"/>
              </w:rPr>
              <w:t xml:space="preserve"> the PPA.    Meetings have been held.    Counterparties conducting commercial due diligence. </w:t>
            </w:r>
            <w:r>
              <w:rPr>
                <w:rFonts w:ascii="Arial" w:hAnsi="Arial"/>
                <w:strike/>
              </w:rPr>
              <w:t>{ WalMart Power Supply Arrangement Mark Powell Darren Cross May 1, 2001 Retail power supply arrangement to Alberta stores. Co-op Power Supply Arrangement Greg Johnston</w:t>
            </w:r>
          </w:p>
          <w:p>
            <w:pPr>
              <w:pStyle w:val="Header"/>
              <w:tabs>
                <w:tab w:val="clear" w:pos="4320"/>
                <w:tab w:val="clear" w:pos="8640"/>
              </w:tabs>
              <w:bidi w:val="0"/>
              <w:jc w:val="both"/>
              <w:rPr>
                <w:rFonts w:ascii="Arial" w:hAnsi="Arial"/>
                <w:strike/>
              </w:rPr>
            </w:pPr>
            <w:r>
              <w:rPr>
                <w:rFonts w:ascii="Arial" w:hAnsi="Arial"/>
                <w:strike/>
              </w:rPr>
              <w:t>Mark Powell Shawn Anderson</w:t>
            </w:r>
          </w:p>
          <w:p>
            <w:pPr>
              <w:pStyle w:val="Header"/>
              <w:tabs>
                <w:tab w:val="clear" w:pos="4320"/>
                <w:tab w:val="clear" w:pos="8640"/>
              </w:tabs>
              <w:bidi w:val="0"/>
              <w:jc w:val="both"/>
              <w:rPr/>
            </w:pPr>
            <w:r>
              <w:rPr>
                <w:rFonts w:ascii="Arial" w:hAnsi="Arial"/>
                <w:strike/>
              </w:rPr>
              <w:t>Jason Biever Completed 5-year, 14MW retail supply arrangement to 127 store chain of supermarkets through Enron Direct (power sourced through ECC and ECPC under the PPA)}</w:t>
            </w:r>
            <w:r>
              <w:rPr>
                <w:rFonts w:ascii="Arial" w:hAnsi="Arial"/>
              </w:rPr>
              <w:t xml:space="preserve"> </w:t>
            </w:r>
          </w:p>
        </w:tc>
      </w:tr>
      <w:tr>
        <w:trPr/>
        <w:tc>
          <w:tcPr>
            <w:tcW w:w="21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start"/>
              <w:rPr/>
            </w:pPr>
            <w:r>
              <w:rPr>
                <w:rFonts w:ascii="Arial" w:hAnsi="Arial"/>
              </w:rPr>
              <w:t>Petro-Canada Outsourcing Arrangement</w:t>
            </w:r>
          </w:p>
        </w:tc>
        <w:tc>
          <w:tcPr>
            <w:tcW w:w="189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Peter Keohane</w:t>
            </w:r>
          </w:p>
        </w:tc>
        <w:tc>
          <w:tcPr>
            <w:tcW w:w="18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rFonts w:ascii="Arial" w:hAnsi="Arial"/>
              </w:rPr>
              <w:t>Eric LeDain</w:t>
            </w:r>
          </w:p>
        </w:tc>
        <w:tc>
          <w:tcPr>
            <w:tcW w:w="1711"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start"/>
              <w:rPr/>
            </w:pPr>
            <w:r>
              <w:rPr>
                <w:rFonts w:ascii="Arial" w:hAnsi="Arial"/>
              </w:rPr>
              <w:t>Not Applicable</w:t>
            </w:r>
          </w:p>
        </w:tc>
        <w:tc>
          <w:tcPr>
            <w:tcW w:w="549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both"/>
              <w:rPr/>
            </w:pPr>
            <w:r>
              <w:rPr>
                <w:rFonts w:ascii="Arial" w:hAnsi="Arial"/>
              </w:rPr>
              <w:t xml:space="preserve">5-year term extension and fee restructuring.    Letter agreement executed.    Redrafting Outsourcing Agreement.    </w:t>
            </w:r>
            <w:r>
              <w:rPr>
                <w:rFonts w:ascii="Arial" w:hAnsi="Arial"/>
                <w:u w:val="double"/>
              </w:rPr>
              <w:t>{Awaiting finalization of "incentive fee" negotiations.}</w:t>
            </w:r>
          </w:p>
        </w:tc>
      </w:tr>
      <w:tr>
        <w:trPr/>
        <w:tc>
          <w:tcPr>
            <w:tcW w:w="21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start"/>
              <w:rPr/>
            </w:pPr>
            <w:r>
              <w:rPr>
                <w:rFonts w:ascii="Arial" w:hAnsi="Arial"/>
              </w:rPr>
              <w:t>Alberta PPA</w:t>
            </w:r>
          </w:p>
        </w:tc>
        <w:tc>
          <w:tcPr>
            <w:tcW w:w="189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rFonts w:ascii="Arial" w:hAnsi="Arial"/>
              </w:rPr>
            </w:pPr>
            <w:r>
              <w:rPr>
                <w:rFonts w:ascii="Arial" w:hAnsi="Arial"/>
              </w:rPr>
              <w:t>Peter Keohane</w:t>
            </w:r>
          </w:p>
          <w:p>
            <w:pPr>
              <w:pStyle w:val="Normal"/>
              <w:tabs>
                <w:tab w:val="clear" w:pos="720"/>
              </w:tabs>
              <w:bidi w:val="0"/>
              <w:jc w:val="both"/>
              <w:rPr/>
            </w:pPr>
            <w:r>
              <w:rPr>
                <w:rFonts w:ascii="Arial" w:hAnsi="Arial"/>
              </w:rPr>
              <w:t>Greg Johnston</w:t>
            </w:r>
          </w:p>
        </w:tc>
        <w:tc>
          <w:tcPr>
            <w:tcW w:w="18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rFonts w:ascii="Arial" w:hAnsi="Arial"/>
              </w:rPr>
            </w:pPr>
            <w:r>
              <w:rPr>
                <w:rFonts w:ascii="Arial" w:hAnsi="Arial"/>
              </w:rPr>
              <w:t>John Zufferli</w:t>
            </w:r>
          </w:p>
          <w:p>
            <w:pPr>
              <w:pStyle w:val="Normal"/>
              <w:tabs>
                <w:tab w:val="clear" w:pos="720"/>
              </w:tabs>
              <w:bidi w:val="0"/>
              <w:jc w:val="start"/>
              <w:rPr/>
            </w:pPr>
            <w:r>
              <w:rPr>
                <w:rFonts w:ascii="Arial" w:hAnsi="Arial"/>
              </w:rPr>
              <w:t>Derek Davies</w:t>
            </w:r>
          </w:p>
        </w:tc>
        <w:tc>
          <w:tcPr>
            <w:tcW w:w="1711"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start"/>
              <w:rPr/>
            </w:pPr>
            <w:r>
              <w:rPr>
                <w:rFonts w:ascii="Arial" w:hAnsi="Arial"/>
              </w:rPr>
              <w:t>Not Applicable</w:t>
            </w:r>
          </w:p>
        </w:tc>
        <w:tc>
          <w:tcPr>
            <w:tcW w:w="549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both"/>
              <w:rPr/>
            </w:pPr>
            <w:r>
              <w:rPr>
                <w:rFonts w:ascii="Arial" w:hAnsi="Arial"/>
              </w:rPr>
              <w:t xml:space="preserve">Numerous ongoing activities respecting </w:t>
            </w:r>
            <w:r>
              <w:rPr>
                <w:rFonts w:ascii="Arial" w:hAnsi="Arial"/>
                <w:strike/>
              </w:rPr>
              <w:t>{trading and origination opportunities,}</w:t>
            </w:r>
            <w:r>
              <w:rPr>
                <w:rFonts w:ascii="Arial" w:hAnsi="Arial"/>
              </w:rPr>
              <w:t xml:space="preserve"> monetization structures, regulatory and market rule issues, system access and transmission issues, market surveillance, Change of Law insurance, </w:t>
            </w:r>
            <w:r>
              <w:rPr>
                <w:rFonts w:ascii="Arial" w:hAnsi="Arial"/>
                <w:u w:val="double"/>
              </w:rPr>
              <w:t>{operational, environmental and billing issues with TAU,}</w:t>
            </w:r>
            <w:r>
              <w:rPr>
                <w:rFonts w:ascii="Arial" w:hAnsi="Arial"/>
              </w:rPr>
              <w:t xml:space="preserve"> etc.</w:t>
            </w:r>
          </w:p>
        </w:tc>
      </w:tr>
      <w:tr>
        <w:trPr/>
        <w:tc>
          <w:tcPr>
            <w:tcW w:w="21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start"/>
              <w:rPr/>
            </w:pPr>
            <w:r>
              <w:rPr>
                <w:rFonts w:ascii="Arial" w:hAnsi="Arial"/>
              </w:rPr>
              <w:t>British Energy Canada</w:t>
            </w:r>
          </w:p>
        </w:tc>
        <w:tc>
          <w:tcPr>
            <w:tcW w:w="189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rFonts w:ascii="Arial" w:hAnsi="Arial"/>
              </w:rPr>
            </w:pPr>
            <w:r>
              <w:rPr>
                <w:rFonts w:ascii="Arial" w:hAnsi="Arial"/>
              </w:rPr>
              <w:t>Peter Keohane</w:t>
            </w:r>
          </w:p>
          <w:p>
            <w:pPr>
              <w:pStyle w:val="Normal"/>
              <w:tabs>
                <w:tab w:val="clear" w:pos="720"/>
              </w:tabs>
              <w:bidi w:val="0"/>
              <w:jc w:val="both"/>
              <w:rPr/>
            </w:pPr>
            <w:r>
              <w:rPr>
                <w:rFonts w:ascii="Arial" w:hAnsi="Arial"/>
              </w:rPr>
              <w:t>Chris Gaffney</w:t>
            </w:r>
          </w:p>
        </w:tc>
        <w:tc>
          <w:tcPr>
            <w:tcW w:w="18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Paul DeVries</w:t>
            </w:r>
          </w:p>
        </w:tc>
        <w:tc>
          <w:tcPr>
            <w:tcW w:w="1711"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start"/>
              <w:rPr/>
            </w:pPr>
            <w:r>
              <w:rPr>
                <w:rFonts w:ascii="Arial" w:hAnsi="Arial"/>
              </w:rPr>
              <w:t>Ontario Market Opening (Projected for May, 2002)</w:t>
            </w:r>
          </w:p>
        </w:tc>
        <w:tc>
          <w:tcPr>
            <w:tcW w:w="549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both"/>
              <w:rPr/>
            </w:pPr>
            <w:r>
              <w:rPr>
                <w:rFonts w:ascii="Arial" w:hAnsi="Arial"/>
              </w:rPr>
              <w:t xml:space="preserve">3-year term firm PPA for 500 MW/h executed, conditional on Ontario market deregulation by November 30, 2001.    Negotiating </w:t>
            </w:r>
            <w:r>
              <w:rPr>
                <w:rFonts w:ascii="Arial" w:hAnsi="Arial"/>
                <w:u w:val="double"/>
              </w:rPr>
              <w:t>{extension of}</w:t>
            </w:r>
            <w:r>
              <w:rPr>
                <w:rFonts w:ascii="Arial" w:hAnsi="Arial"/>
              </w:rPr>
              <w:t xml:space="preserve"> market opening </w:t>
            </w:r>
            <w:r>
              <w:rPr>
                <w:rFonts w:ascii="Arial" w:hAnsi="Arial"/>
                <w:strike/>
              </w:rPr>
              <w:t>{extension for May}</w:t>
            </w:r>
            <w:r>
              <w:rPr>
                <w:rFonts w:ascii="Arial" w:hAnsi="Arial"/>
              </w:rPr>
              <w:t xml:space="preserve"> </w:t>
            </w:r>
            <w:r>
              <w:rPr>
                <w:rFonts w:ascii="Arial" w:hAnsi="Arial"/>
                <w:u w:val="double"/>
              </w:rPr>
              <w:t>{condition precedent to December,}</w:t>
            </w:r>
            <w:r>
              <w:rPr>
                <w:rFonts w:ascii="Arial" w:hAnsi="Arial"/>
              </w:rPr>
              <w:t xml:space="preserve"> 2002.</w:t>
            </w:r>
          </w:p>
        </w:tc>
      </w:tr>
      <w:tr>
        <w:trPr/>
        <w:tc>
          <w:tcPr>
            <w:tcW w:w="217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rFonts w:ascii="Arial" w:hAnsi="Arial"/>
              </w:rPr>
              <w:t>Off-Take of British Energy Power</w:t>
            </w:r>
          </w:p>
        </w:tc>
        <w:tc>
          <w:tcPr>
            <w:tcW w:w="1891"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start"/>
              <w:rPr>
                <w:rFonts w:ascii="Arial" w:hAnsi="Arial"/>
              </w:rPr>
            </w:pPr>
            <w:r>
              <w:rPr>
                <w:rFonts w:ascii="Arial" w:hAnsi="Arial"/>
              </w:rPr>
              <w:t xml:space="preserve">Peter Keohane </w:t>
            </w:r>
          </w:p>
          <w:p>
            <w:pPr>
              <w:pStyle w:val="Header"/>
              <w:tabs>
                <w:tab w:val="clear" w:pos="4320"/>
                <w:tab w:val="clear" w:pos="8640"/>
              </w:tabs>
              <w:bidi w:val="0"/>
              <w:jc w:val="start"/>
              <w:rPr/>
            </w:pPr>
            <w:r>
              <w:rPr>
                <w:rFonts w:ascii="Arial" w:hAnsi="Arial"/>
              </w:rPr>
              <w:t>Chris Gaffney</w:t>
            </w:r>
          </w:p>
        </w:tc>
        <w:tc>
          <w:tcPr>
            <w:tcW w:w="1889"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start"/>
              <w:rPr/>
            </w:pPr>
            <w:r>
              <w:rPr>
                <w:rFonts w:ascii="Arial" w:hAnsi="Arial"/>
              </w:rPr>
              <w:t>Paul DeVries</w:t>
            </w:r>
          </w:p>
        </w:tc>
        <w:tc>
          <w:tcPr>
            <w:tcW w:w="171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rFonts w:ascii="Arial" w:hAnsi="Arial"/>
              </w:rPr>
              <w:t>Ontario Market Opening (Projected for May, 2002)</w:t>
            </w:r>
          </w:p>
        </w:tc>
        <w:tc>
          <w:tcPr>
            <w:tcW w:w="5490"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rFonts w:ascii="Arial" w:hAnsi="Arial"/>
              </w:rPr>
            </w:pPr>
            <w:r>
              <w:rPr>
                <w:rFonts w:ascii="Arial" w:hAnsi="Arial"/>
              </w:rPr>
              <w:t>Firm PPAs, conditional on Ontario market deregulation by November 30, 2001, being discussed with various counterparties to hedge British Energy position.</w:t>
            </w:r>
          </w:p>
          <w:p>
            <w:pPr>
              <w:pStyle w:val="Normal"/>
              <w:tabs>
                <w:tab w:val="clear" w:pos="720"/>
              </w:tabs>
              <w:bidi w:val="0"/>
              <w:jc w:val="both"/>
              <w:rPr>
                <w:rFonts w:ascii="Arial" w:hAnsi="Arial"/>
              </w:rPr>
            </w:pPr>
            <w:r>
              <w:rPr>
                <w:rFonts w:ascii="Arial" w:hAnsi="Arial"/>
              </w:rPr>
              <w:t>36 MW, 3-year contract executed with Sunoco.</w:t>
            </w:r>
          </w:p>
          <w:p>
            <w:pPr>
              <w:pStyle w:val="Normal"/>
              <w:tabs>
                <w:tab w:val="clear" w:pos="720"/>
              </w:tabs>
              <w:bidi w:val="0"/>
              <w:jc w:val="both"/>
              <w:rPr>
                <w:rFonts w:ascii="Arial" w:hAnsi="Arial"/>
              </w:rPr>
            </w:pPr>
            <w:r>
              <w:rPr>
                <w:rFonts w:ascii="Arial" w:hAnsi="Arial"/>
              </w:rPr>
              <w:t>100 MW, 2-year contract executed with TransCanada Energy.</w:t>
            </w:r>
          </w:p>
          <w:p>
            <w:pPr>
              <w:pStyle w:val="Normal"/>
              <w:tabs>
                <w:tab w:val="clear" w:pos="720"/>
              </w:tabs>
              <w:bidi w:val="0"/>
              <w:jc w:val="both"/>
              <w:rPr>
                <w:rFonts w:ascii="Arial" w:hAnsi="Arial"/>
                <w:strike/>
              </w:rPr>
            </w:pPr>
            <w:r>
              <w:rPr>
                <w:rFonts w:ascii="Arial" w:hAnsi="Arial"/>
                <w:strike/>
              </w:rPr>
              <w:t>{Negotiating market opening extension for May 2002.</w:t>
            </w:r>
          </w:p>
          <w:p>
            <w:pPr>
              <w:pStyle w:val="Normal"/>
              <w:tabs>
                <w:tab w:val="clear" w:pos="720"/>
              </w:tabs>
              <w:bidi w:val="0"/>
              <w:jc w:val="both"/>
              <w:rPr>
                <w:rFonts w:ascii="Arial" w:hAnsi="Arial"/>
              </w:rPr>
            </w:pPr>
            <w:r>
              <w:rPr>
                <w:rFonts w:ascii="Arial" w:hAnsi="Arial"/>
                <w:strike/>
              </w:rPr>
              <w:t>}</w:t>
            </w:r>
            <w:r>
              <w:rPr>
                <w:rFonts w:ascii="Arial" w:hAnsi="Arial"/>
              </w:rPr>
              <w:t>48 MW, 3-year contract executed with IVACO.</w:t>
            </w:r>
          </w:p>
          <w:p>
            <w:pPr>
              <w:pStyle w:val="Normal"/>
              <w:tabs>
                <w:tab w:val="clear" w:pos="720"/>
              </w:tabs>
              <w:bidi w:val="0"/>
              <w:jc w:val="both"/>
              <w:rPr/>
            </w:pPr>
            <w:r>
              <w:rPr>
                <w:rFonts w:ascii="Arial" w:hAnsi="Arial"/>
              </w:rPr>
              <w:t xml:space="preserve">Commenced negotiations with </w:t>
            </w:r>
            <w:r>
              <w:rPr>
                <w:rFonts w:ascii="Arial" w:hAnsi="Arial"/>
                <w:u w:val="double"/>
              </w:rPr>
              <w:t>{Royal Technologies (50 MW);}</w:t>
            </w:r>
            <w:r>
              <w:rPr>
                <w:rFonts w:ascii="Arial" w:hAnsi="Arial"/>
              </w:rPr>
              <w:t xml:space="preserve"> Casco Inc. (11 MW), Domtar (20+ MW), Terra (10 MW) and Atlantic Packaging (30+ MW).    Draft agreement being reviewed by several other counterparties.</w:t>
            </w:r>
          </w:p>
        </w:tc>
      </w:tr>
      <w:tr>
        <w:trPr/>
        <w:tc>
          <w:tcPr>
            <w:tcW w:w="217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rFonts w:ascii="Helv" w:hAnsi="Helv"/>
                <w:color w:val="000000"/>
              </w:rPr>
              <w:t>G-6 Energy Corp</w:t>
            </w:r>
          </w:p>
        </w:tc>
        <w:tc>
          <w:tcPr>
            <w:tcW w:w="189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Helv" w:hAnsi="Helv"/>
                <w:color w:val="000000"/>
              </w:rPr>
              <w:t>Chris Gaffney</w:t>
            </w:r>
          </w:p>
        </w:tc>
        <w:tc>
          <w:tcPr>
            <w:tcW w:w="18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rFonts w:ascii="Helv" w:hAnsi="Helv"/>
                <w:color w:val="000000"/>
              </w:rPr>
            </w:pPr>
            <w:r>
              <w:rPr>
                <w:rFonts w:ascii="Helv" w:hAnsi="Helv"/>
                <w:color w:val="000000"/>
              </w:rPr>
              <w:t>Paul DeVries</w:t>
            </w:r>
          </w:p>
          <w:p>
            <w:pPr>
              <w:pStyle w:val="Normal"/>
              <w:tabs>
                <w:tab w:val="clear" w:pos="720"/>
              </w:tabs>
              <w:bidi w:val="0"/>
              <w:jc w:val="both"/>
              <w:rPr/>
            </w:pPr>
            <w:r>
              <w:rPr>
                <w:rFonts w:ascii="Helv" w:hAnsi="Helv"/>
                <w:color w:val="000000"/>
              </w:rPr>
              <w:t>Jan Wilson</w:t>
            </w:r>
          </w:p>
        </w:tc>
        <w:tc>
          <w:tcPr>
            <w:tcW w:w="1711"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start"/>
              <w:rPr/>
            </w:pPr>
            <w:r>
              <w:rPr>
                <w:rFonts w:ascii="Helv" w:hAnsi="Helv"/>
                <w:color w:val="000000"/>
              </w:rPr>
              <w:t>2nd Qtr. 2001</w:t>
            </w:r>
          </w:p>
        </w:tc>
        <w:tc>
          <w:tcPr>
            <w:tcW w:w="549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both"/>
              <w:rPr/>
            </w:pPr>
            <w:r>
              <w:rPr>
                <w:rFonts w:ascii="Helv" w:hAnsi="Helv"/>
                <w:color w:val="000000"/>
              </w:rPr>
              <w:t xml:space="preserve">Structured transaction forming a retail electricity provider with 2 large Ontario Municipal Electrical Utilities.    Enron Canada to provide services and exclusive wholesale electricity supply.    Enron Canada to take </w:t>
            </w:r>
            <w:r>
              <w:rPr>
                <w:rFonts w:ascii="Helv" w:hAnsi="Helv"/>
                <w:color w:val="000000"/>
                <w:u w:val="double"/>
              </w:rPr>
              <w:t>{either}</w:t>
            </w:r>
            <w:r>
              <w:rPr>
                <w:rFonts w:ascii="Helv" w:hAnsi="Helv"/>
                <w:color w:val="000000"/>
              </w:rPr>
              <w:t xml:space="preserve"> a 60% equity share in the G-6 </w:t>
            </w:r>
            <w:r>
              <w:rPr>
                <w:rFonts w:ascii="Helv" w:hAnsi="Helv"/>
                <w:color w:val="000000"/>
                <w:u w:val="double"/>
              </w:rPr>
              <w:t>{or 20% equity interest with option to acquire an additional 30%}</w:t>
            </w:r>
            <w:r>
              <w:rPr>
                <w:rFonts w:ascii="Helv" w:hAnsi="Helv"/>
                <w:color w:val="000000"/>
              </w:rPr>
              <w:t xml:space="preserve">.    Definitive Agreements being </w:t>
            </w:r>
            <w:r>
              <w:rPr>
                <w:rFonts w:ascii="Helv" w:hAnsi="Helv"/>
                <w:strike/>
                <w:color w:val="000000"/>
              </w:rPr>
              <w:t>{revised to reflect new structure}</w:t>
            </w:r>
            <w:r>
              <w:rPr>
                <w:rFonts w:ascii="Helv" w:hAnsi="Helv"/>
                <w:color w:val="000000"/>
              </w:rPr>
              <w:t xml:space="preserve"> </w:t>
            </w:r>
            <w:r>
              <w:rPr>
                <w:rFonts w:ascii="Helv" w:hAnsi="Helv"/>
                <w:color w:val="000000"/>
                <w:u w:val="double"/>
              </w:rPr>
              <w:t>{negotiated}</w:t>
            </w:r>
            <w:r>
              <w:rPr>
                <w:rFonts w:ascii="Helv" w:hAnsi="Helv"/>
                <w:color w:val="000000"/>
              </w:rPr>
              <w:t>.</w:t>
            </w:r>
          </w:p>
        </w:tc>
      </w:tr>
      <w:tr>
        <w:trPr/>
        <w:tc>
          <w:tcPr>
            <w:tcW w:w="217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rFonts w:ascii="Arial" w:hAnsi="Arial"/>
              </w:rPr>
              <w:t>ENERconnect</w:t>
            </w:r>
          </w:p>
        </w:tc>
        <w:tc>
          <w:tcPr>
            <w:tcW w:w="189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rFonts w:ascii="Arial" w:hAnsi="Arial"/>
              </w:rPr>
            </w:pPr>
            <w:r>
              <w:rPr>
                <w:rFonts w:ascii="Arial" w:hAnsi="Arial"/>
              </w:rPr>
              <w:t>Peter Keohane</w:t>
            </w:r>
          </w:p>
          <w:p>
            <w:pPr>
              <w:pStyle w:val="Normal"/>
              <w:tabs>
                <w:tab w:val="clear" w:pos="720"/>
              </w:tabs>
              <w:bidi w:val="0"/>
              <w:jc w:val="both"/>
              <w:rPr/>
            </w:pPr>
            <w:r>
              <w:rPr>
                <w:rFonts w:ascii="Arial" w:hAnsi="Arial"/>
              </w:rPr>
              <w:t>Chris Gaffney</w:t>
            </w:r>
          </w:p>
        </w:tc>
        <w:tc>
          <w:tcPr>
            <w:tcW w:w="18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Paul DeVries</w:t>
            </w:r>
          </w:p>
        </w:tc>
        <w:tc>
          <w:tcPr>
            <w:tcW w:w="1711"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start"/>
              <w:rPr/>
            </w:pPr>
            <w:r>
              <w:rPr>
                <w:rFonts w:ascii="Arial" w:hAnsi="Arial"/>
              </w:rPr>
              <w:t>Commencing on Ontario Market Opening (Projected for May, 2002)</w:t>
            </w:r>
          </w:p>
        </w:tc>
        <w:tc>
          <w:tcPr>
            <w:tcW w:w="549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both"/>
              <w:rPr/>
            </w:pPr>
            <w:r>
              <w:rPr>
                <w:rFonts w:ascii="Arial" w:hAnsi="Arial"/>
              </w:rPr>
              <w:t xml:space="preserve">3-year retail electricity services and alliance agreement.    Negotiating market opening extension.    </w:t>
            </w:r>
            <w:r>
              <w:rPr>
                <w:rFonts w:ascii="Arial" w:hAnsi="Arial"/>
                <w:u w:val="double"/>
              </w:rPr>
              <w:t>{Once extended, a marketing campaign to resign MEUs will commence.}</w:t>
            </w:r>
          </w:p>
        </w:tc>
      </w:tr>
      <w:tr>
        <w:trPr/>
        <w:tc>
          <w:tcPr>
            <w:tcW w:w="217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rFonts w:ascii="Arial" w:hAnsi="Arial"/>
              </w:rPr>
              <w:t>Mobile Turbine Joint Venture</w:t>
            </w:r>
          </w:p>
        </w:tc>
        <w:tc>
          <w:tcPr>
            <w:tcW w:w="189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rFonts w:ascii="Arial" w:hAnsi="Arial"/>
              </w:rPr>
            </w:pPr>
            <w:r>
              <w:rPr>
                <w:rFonts w:ascii="Arial" w:hAnsi="Arial"/>
              </w:rPr>
              <w:t>Greg Johnston</w:t>
            </w:r>
          </w:p>
          <w:p>
            <w:pPr>
              <w:pStyle w:val="Normal"/>
              <w:tabs>
                <w:tab w:val="clear" w:pos="720"/>
              </w:tabs>
              <w:bidi w:val="0"/>
              <w:jc w:val="both"/>
              <w:rPr>
                <w:rFonts w:ascii="Arial" w:hAnsi="Arial"/>
              </w:rPr>
            </w:pPr>
            <w:r>
              <w:rPr>
                <w:rFonts w:ascii="Arial" w:hAnsi="Arial"/>
              </w:rPr>
            </w:r>
          </w:p>
        </w:tc>
        <w:tc>
          <w:tcPr>
            <w:tcW w:w="18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rFonts w:ascii="Arial" w:hAnsi="Arial"/>
              </w:rPr>
            </w:pPr>
            <w:r>
              <w:rPr>
                <w:rFonts w:ascii="Arial" w:hAnsi="Arial"/>
              </w:rPr>
              <w:t>Kyle Kitagawa</w:t>
            </w:r>
          </w:p>
          <w:p>
            <w:pPr>
              <w:pStyle w:val="Normal"/>
              <w:tabs>
                <w:tab w:val="clear" w:pos="720"/>
              </w:tabs>
              <w:bidi w:val="0"/>
              <w:jc w:val="both"/>
              <w:rPr/>
            </w:pPr>
            <w:r>
              <w:rPr>
                <w:rFonts w:ascii="Arial" w:hAnsi="Arial"/>
              </w:rPr>
              <w:t>Duncan Croasdale</w:t>
            </w:r>
          </w:p>
        </w:tc>
        <w:tc>
          <w:tcPr>
            <w:tcW w:w="171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2</w:t>
            </w:r>
            <w:r>
              <w:rPr>
                <w:rFonts w:ascii="Arial" w:hAnsi="Arial"/>
                <w:vertAlign w:val="superscript"/>
              </w:rPr>
              <w:t>nd</w:t>
            </w:r>
            <w:r>
              <w:rPr>
                <w:rFonts w:ascii="Arial" w:hAnsi="Arial"/>
              </w:rPr>
              <w:t xml:space="preserve"> Qtr. 2001</w:t>
            </w:r>
          </w:p>
        </w:tc>
        <w:tc>
          <w:tcPr>
            <w:tcW w:w="549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both"/>
              <w:rPr/>
            </w:pPr>
            <w:r>
              <w:rPr>
                <w:rFonts w:ascii="Arial" w:hAnsi="Arial"/>
              </w:rPr>
              <w:t xml:space="preserve">Closed funding and structuring of Advanced Mobile Power Systems, with ENA obtaining an 85% interest.    </w:t>
            </w:r>
            <w:r>
              <w:rPr>
                <w:rFonts w:ascii="Arial" w:hAnsi="Arial"/>
                <w:strike/>
              </w:rPr>
              <w:t>{ENA assets have been transferred into AMPS.}</w:t>
            </w:r>
            <w:r>
              <w:rPr>
                <w:rFonts w:ascii="Arial" w:hAnsi="Arial"/>
              </w:rPr>
              <w:t xml:space="preserve"> Vendor contracts regarding the supply of various components to complete the manufacture of one beta unit by July 2001 have all been executed</w:t>
            </w:r>
            <w:r>
              <w:rPr>
                <w:rFonts w:ascii="Arial" w:hAnsi="Arial"/>
                <w:strike/>
              </w:rPr>
              <w:t>{. Staffing of AMPS is underway}</w:t>
            </w:r>
            <w:r>
              <w:rPr>
                <w:rFonts w:ascii="Arial" w:hAnsi="Arial"/>
              </w:rPr>
              <w:t xml:space="preserve"> </w:t>
            </w:r>
            <w:r>
              <w:rPr>
                <w:rFonts w:ascii="Arial" w:hAnsi="Arial"/>
                <w:u w:val="double"/>
              </w:rPr>
              <w:t>{and manufacturing is proceeding as expected}</w:t>
            </w:r>
            <w:r>
              <w:rPr>
                <w:rFonts w:ascii="Arial" w:hAnsi="Arial"/>
              </w:rPr>
              <w:t xml:space="preserve">.    Currently marketing test </w:t>
            </w:r>
            <w:r>
              <w:rPr>
                <w:rFonts w:ascii="Arial" w:hAnsi="Arial"/>
                <w:u w:val="double"/>
              </w:rPr>
              <w:t>{unit and beta}</w:t>
            </w:r>
            <w:r>
              <w:rPr>
                <w:rFonts w:ascii="Arial" w:hAnsi="Arial"/>
              </w:rPr>
              <w:t xml:space="preserve"> unit for sale.    Ongoing legal review of all marketing, employment and contractual documentation.    Enron has agreed to provide legal services to AMPS for the first six months of its operation</w:t>
            </w:r>
            <w:r>
              <w:rPr>
                <w:rFonts w:ascii="Arial" w:hAnsi="Arial"/>
                <w:u w:val="double"/>
              </w:rPr>
              <w:t>{, which services agreement expires August 2001}</w:t>
            </w:r>
            <w:r>
              <w:rPr>
                <w:rFonts w:ascii="Arial" w:hAnsi="Arial"/>
              </w:rPr>
              <w:t>.</w:t>
            </w:r>
          </w:p>
        </w:tc>
      </w:tr>
      <w:tr>
        <w:trPr/>
        <w:tc>
          <w:tcPr>
            <w:tcW w:w="217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rFonts w:ascii="Arial" w:hAnsi="Arial"/>
              </w:rPr>
            </w:pPr>
            <w:r>
              <w:rPr>
                <w:rFonts w:ascii="Arial" w:hAnsi="Arial"/>
              </w:rPr>
              <w:t>Government of Ontario NUG</w:t>
            </w:r>
          </w:p>
          <w:p>
            <w:pPr>
              <w:pStyle w:val="Normal"/>
              <w:tabs>
                <w:tab w:val="clear" w:pos="720"/>
              </w:tabs>
              <w:bidi w:val="0"/>
              <w:jc w:val="start"/>
              <w:rPr/>
            </w:pPr>
            <w:r>
              <w:rPr>
                <w:rFonts w:ascii="Arial" w:hAnsi="Arial"/>
              </w:rPr>
              <w:t>Contract RFP</w:t>
            </w:r>
          </w:p>
        </w:tc>
        <w:tc>
          <w:tcPr>
            <w:tcW w:w="189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rFonts w:ascii="Arial" w:hAnsi="Arial"/>
              </w:rPr>
            </w:pPr>
            <w:r>
              <w:rPr>
                <w:rFonts w:ascii="Arial" w:hAnsi="Arial"/>
              </w:rPr>
              <w:t>Peter Keohane</w:t>
            </w:r>
          </w:p>
          <w:p>
            <w:pPr>
              <w:pStyle w:val="Normal"/>
              <w:tabs>
                <w:tab w:val="clear" w:pos="720"/>
              </w:tabs>
              <w:bidi w:val="0"/>
              <w:jc w:val="both"/>
              <w:rPr/>
            </w:pPr>
            <w:r>
              <w:rPr>
                <w:rFonts w:ascii="Arial" w:hAnsi="Arial"/>
              </w:rPr>
              <w:t>Chris Gaffney</w:t>
            </w:r>
          </w:p>
        </w:tc>
        <w:tc>
          <w:tcPr>
            <w:tcW w:w="18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Paul Devries</w:t>
            </w:r>
          </w:p>
        </w:tc>
        <w:tc>
          <w:tcPr>
            <w:tcW w:w="1711"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start"/>
              <w:rPr/>
            </w:pPr>
            <w:r>
              <w:rPr>
                <w:rFonts w:ascii="Arial" w:hAnsi="Arial"/>
              </w:rPr>
              <w:t>2</w:t>
            </w:r>
            <w:r>
              <w:rPr>
                <w:rFonts w:ascii="Arial" w:hAnsi="Arial"/>
                <w:vertAlign w:val="superscript"/>
              </w:rPr>
              <w:t>nd</w:t>
            </w:r>
            <w:r>
              <w:rPr>
                <w:rFonts w:ascii="Arial" w:hAnsi="Arial"/>
              </w:rPr>
              <w:t xml:space="preserve"> Qtr. 2001</w:t>
            </w:r>
          </w:p>
        </w:tc>
        <w:tc>
          <w:tcPr>
            <w:tcW w:w="549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both"/>
              <w:rPr/>
            </w:pPr>
            <w:r>
              <w:rPr>
                <w:rFonts w:ascii="Arial" w:hAnsi="Arial"/>
              </w:rPr>
              <w:t xml:space="preserve">RFP for management of the Non-Utility Generation Contracts on behalf of the Government of Ontario.    Enron Canada awarded RFP.    </w:t>
            </w:r>
            <w:r>
              <w:rPr>
                <w:rFonts w:ascii="Arial" w:hAnsi="Arial"/>
                <w:strike/>
              </w:rPr>
              <w:t>{Due}</w:t>
            </w:r>
            <w:r>
              <w:rPr>
                <w:rFonts w:ascii="Arial" w:hAnsi="Arial"/>
              </w:rPr>
              <w:t xml:space="preserve"> </w:t>
            </w:r>
            <w:r>
              <w:rPr>
                <w:rFonts w:ascii="Arial" w:hAnsi="Arial"/>
                <w:u w:val="double"/>
              </w:rPr>
              <w:t>{Conducting due}</w:t>
            </w:r>
            <w:r>
              <w:rPr>
                <w:rFonts w:ascii="Arial" w:hAnsi="Arial"/>
              </w:rPr>
              <w:t xml:space="preserve"> diligence and negotiation of Definitive Agreement.</w:t>
            </w:r>
          </w:p>
        </w:tc>
      </w:tr>
      <w:tr>
        <w:trPr/>
        <w:tc>
          <w:tcPr>
            <w:tcW w:w="21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start"/>
              <w:rPr/>
            </w:pPr>
            <w:r>
              <w:rPr>
                <w:rFonts w:ascii="Arial" w:hAnsi="Arial"/>
              </w:rPr>
              <w:t>Enron Direct Canadian Retail (Power and Gas) Initiative</w:t>
            </w:r>
          </w:p>
        </w:tc>
        <w:tc>
          <w:tcPr>
            <w:tcW w:w="189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rFonts w:ascii="Arial" w:hAnsi="Arial"/>
              </w:rPr>
            </w:pPr>
            <w:r>
              <w:rPr>
                <w:rFonts w:ascii="Arial" w:hAnsi="Arial"/>
              </w:rPr>
              <w:t>Peter Keohane</w:t>
            </w:r>
          </w:p>
          <w:p>
            <w:pPr>
              <w:pStyle w:val="Normal"/>
              <w:tabs>
                <w:tab w:val="clear" w:pos="720"/>
              </w:tabs>
              <w:bidi w:val="0"/>
              <w:jc w:val="both"/>
              <w:rPr/>
            </w:pPr>
            <w:r>
              <w:rPr>
                <w:rFonts w:ascii="Arial" w:hAnsi="Arial"/>
              </w:rPr>
              <w:t>Mark Powell</w:t>
            </w:r>
          </w:p>
        </w:tc>
        <w:tc>
          <w:tcPr>
            <w:tcW w:w="18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Darren Cross</w:t>
            </w:r>
          </w:p>
        </w:tc>
        <w:tc>
          <w:tcPr>
            <w:tcW w:w="171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Not Applicable</w:t>
            </w:r>
          </w:p>
        </w:tc>
        <w:tc>
          <w:tcPr>
            <w:tcW w:w="549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both"/>
              <w:rPr/>
            </w:pPr>
            <w:r>
              <w:rPr>
                <w:rFonts w:ascii="Arial" w:hAnsi="Arial"/>
              </w:rPr>
              <w:t xml:space="preserve">Retail electricity and natural gas affiliate for Canadian jurisdictions.    Developing and negotiating retail gas </w:t>
            </w:r>
            <w:r>
              <w:rPr>
                <w:rFonts w:ascii="Arial" w:hAnsi="Arial"/>
                <w:u w:val="double"/>
              </w:rPr>
              <w:t>{and electricity}</w:t>
            </w:r>
            <w:r>
              <w:rPr>
                <w:rFonts w:ascii="Arial" w:hAnsi="Arial"/>
              </w:rPr>
              <w:t xml:space="preserve"> contracts.    Reviewing, commenting and amending proposed mechanics of infrastructure service for power through regulatory hearings dealing with the wire service providers and amending Power Pool of Alberta rules.    Acquiring office space, licenses, support contracts and addressing numerous other necessary new market and business matters.</w:t>
            </w:r>
          </w:p>
        </w:tc>
      </w:tr>
      <w:tr>
        <w:trPr/>
        <w:tc>
          <w:tcPr>
            <w:tcW w:w="217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rFonts w:ascii="Arial" w:hAnsi="Arial"/>
              </w:rPr>
              <w:t>Papier Masson Ltee</w:t>
            </w:r>
          </w:p>
        </w:tc>
        <w:tc>
          <w:tcPr>
            <w:tcW w:w="189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rFonts w:ascii="Arial" w:hAnsi="Arial"/>
              </w:rPr>
            </w:pPr>
            <w:r>
              <w:rPr>
                <w:rFonts w:ascii="Arial" w:hAnsi="Arial"/>
              </w:rPr>
              <w:t>Not Applicable</w:t>
            </w:r>
          </w:p>
          <w:p>
            <w:pPr>
              <w:pStyle w:val="Normal"/>
              <w:tabs>
                <w:tab w:val="clear" w:pos="720"/>
              </w:tabs>
              <w:bidi w:val="0"/>
              <w:jc w:val="both"/>
              <w:rPr>
                <w:rFonts w:ascii="Arial" w:hAnsi="Arial"/>
              </w:rPr>
            </w:pPr>
            <w:r>
              <w:rPr>
                <w:rFonts w:ascii="Arial" w:hAnsi="Arial"/>
              </w:rPr>
            </w:r>
          </w:p>
        </w:tc>
        <w:tc>
          <w:tcPr>
            <w:tcW w:w="18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Not Applicable</w:t>
            </w:r>
          </w:p>
        </w:tc>
        <w:tc>
          <w:tcPr>
            <w:tcW w:w="171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Not applicable</w:t>
            </w:r>
          </w:p>
        </w:tc>
        <w:tc>
          <w:tcPr>
            <w:tcW w:w="549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both"/>
              <w:rPr/>
            </w:pPr>
            <w:r>
              <w:rPr>
                <w:rFonts w:ascii="Arial" w:hAnsi="Arial"/>
              </w:rPr>
              <w:t>Asset transferred to Enron Global Markets.</w:t>
            </w:r>
          </w:p>
        </w:tc>
      </w:tr>
      <w:tr>
        <w:trPr/>
        <w:tc>
          <w:tcPr>
            <w:tcW w:w="217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rFonts w:ascii="Arial" w:hAnsi="Arial"/>
              </w:rPr>
              <w:t>Invasion Energy Inc.</w:t>
            </w:r>
          </w:p>
        </w:tc>
        <w:tc>
          <w:tcPr>
            <w:tcW w:w="189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rFonts w:ascii="Arial" w:hAnsi="Arial"/>
              </w:rPr>
            </w:pPr>
            <w:r>
              <w:rPr>
                <w:rFonts w:ascii="Arial" w:hAnsi="Arial"/>
              </w:rPr>
              <w:t>Peter Keohane</w:t>
            </w:r>
          </w:p>
          <w:p>
            <w:pPr>
              <w:pStyle w:val="Normal"/>
              <w:tabs>
                <w:tab w:val="clear" w:pos="720"/>
              </w:tabs>
              <w:bidi w:val="0"/>
              <w:jc w:val="both"/>
              <w:rPr/>
            </w:pPr>
            <w:r>
              <w:rPr>
                <w:rFonts w:ascii="Arial" w:hAnsi="Arial"/>
              </w:rPr>
              <w:t>Greg Johnston</w:t>
            </w:r>
          </w:p>
        </w:tc>
        <w:tc>
          <w:tcPr>
            <w:tcW w:w="18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Kyle Kitagawa</w:t>
            </w:r>
          </w:p>
        </w:tc>
        <w:tc>
          <w:tcPr>
            <w:tcW w:w="171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May 15, 2001</w:t>
            </w:r>
          </w:p>
        </w:tc>
        <w:tc>
          <w:tcPr>
            <w:tcW w:w="549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both"/>
              <w:rPr/>
            </w:pPr>
            <w:r>
              <w:rPr>
                <w:rFonts w:ascii="Arial" w:hAnsi="Arial"/>
              </w:rPr>
              <w:t xml:space="preserve"> </w:t>
            </w:r>
            <w:r>
              <w:rPr>
                <w:rFonts w:ascii="Arial" w:hAnsi="Arial"/>
                <w:strike/>
              </w:rPr>
              <w:t>{C$56MM offer received from Wiser Oil Company.}</w:t>
            </w:r>
            <w:r>
              <w:rPr>
                <w:rFonts w:ascii="Arial" w:hAnsi="Arial"/>
              </w:rPr>
              <w:t xml:space="preserve"> </w:t>
            </w:r>
            <w:r>
              <w:rPr>
                <w:rFonts w:ascii="Arial" w:hAnsi="Arial"/>
                <w:u w:val="double"/>
              </w:rPr>
              <w:t>{Share purchase agreement has been executed regarding the acquisition by The Wiser Oil Company of all issued and outstanding shares of Invasion plus the Enron Debt and Enron Royalty for total consideration of C$56MM.    Closing is scheduled for May 15, 2001}</w:t>
            </w:r>
          </w:p>
        </w:tc>
      </w:tr>
      <w:tr>
        <w:trPr/>
        <w:tc>
          <w:tcPr>
            <w:tcW w:w="2177"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start"/>
              <w:rPr/>
            </w:pPr>
            <w:r>
              <w:rPr>
                <w:rFonts w:ascii="Arial" w:hAnsi="Arial"/>
              </w:rPr>
              <w:t>Energy Services Agreements</w:t>
            </w:r>
          </w:p>
        </w:tc>
        <w:tc>
          <w:tcPr>
            <w:tcW w:w="189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Chris Gaffney</w:t>
            </w:r>
          </w:p>
        </w:tc>
        <w:tc>
          <w:tcPr>
            <w:tcW w:w="18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rFonts w:ascii="Arial" w:hAnsi="Arial"/>
              </w:rPr>
            </w:pPr>
            <w:r>
              <w:rPr>
                <w:rFonts w:ascii="Arial" w:hAnsi="Arial"/>
              </w:rPr>
              <w:t>Paul DeVries</w:t>
            </w:r>
          </w:p>
          <w:p>
            <w:pPr>
              <w:pStyle w:val="Normal"/>
              <w:tabs>
                <w:tab w:val="clear" w:pos="720"/>
              </w:tabs>
              <w:bidi w:val="0"/>
              <w:jc w:val="both"/>
              <w:rPr>
                <w:rFonts w:ascii="Arial" w:hAnsi="Arial"/>
              </w:rPr>
            </w:pPr>
            <w:r>
              <w:rPr>
                <w:rFonts w:ascii="Arial" w:hAnsi="Arial"/>
              </w:rPr>
              <w:t>Jeff Borg</w:t>
            </w:r>
          </w:p>
          <w:p>
            <w:pPr>
              <w:pStyle w:val="Normal"/>
              <w:tabs>
                <w:tab w:val="clear" w:pos="720"/>
              </w:tabs>
              <w:bidi w:val="0"/>
              <w:jc w:val="both"/>
              <w:rPr/>
            </w:pPr>
            <w:r>
              <w:rPr>
                <w:rFonts w:ascii="Arial" w:hAnsi="Arial"/>
              </w:rPr>
              <w:t>Jan Wilson</w:t>
            </w:r>
          </w:p>
        </w:tc>
        <w:tc>
          <w:tcPr>
            <w:tcW w:w="171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2nd Qtr. 2001</w:t>
            </w:r>
          </w:p>
        </w:tc>
        <w:tc>
          <w:tcPr>
            <w:tcW w:w="549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both"/>
              <w:rPr/>
            </w:pPr>
            <w:r>
              <w:rPr>
                <w:rFonts w:ascii="Arial" w:hAnsi="Arial"/>
              </w:rPr>
              <w:t>Negotiating services agreements with various counterparties, including Cadillac Fairview, Magna, Terra and Ivaco.    Executed Agreement with Sunoco (3 yr. term).</w:t>
            </w:r>
          </w:p>
        </w:tc>
      </w:tr>
      <w:tr>
        <w:trPr/>
        <w:tc>
          <w:tcPr>
            <w:tcW w:w="217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rFonts w:ascii="Arial" w:hAnsi="Arial"/>
              </w:rPr>
              <w:t>Blue Range Resource Corporation</w:t>
            </w:r>
          </w:p>
        </w:tc>
        <w:tc>
          <w:tcPr>
            <w:tcW w:w="189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Peter Keohane</w:t>
            </w:r>
          </w:p>
        </w:tc>
        <w:tc>
          <w:tcPr>
            <w:tcW w:w="18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Rob Milnthorp</w:t>
            </w:r>
          </w:p>
        </w:tc>
        <w:tc>
          <w:tcPr>
            <w:tcW w:w="171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Not Applicable</w:t>
            </w:r>
          </w:p>
        </w:tc>
        <w:tc>
          <w:tcPr>
            <w:tcW w:w="549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both"/>
              <w:rPr/>
            </w:pPr>
            <w:r>
              <w:rPr>
                <w:rFonts w:ascii="Arial" w:hAnsi="Arial"/>
              </w:rPr>
              <w:t>Final $.05 ($2.5MM) dividend anticipated for Q2 or Q3, 2001.</w:t>
            </w:r>
          </w:p>
        </w:tc>
      </w:tr>
      <w:tr>
        <w:trPr/>
        <w:tc>
          <w:tcPr>
            <w:tcW w:w="217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rFonts w:ascii="Arial" w:hAnsi="Arial"/>
              </w:rPr>
              <w:t>Moore Power Project</w:t>
            </w:r>
          </w:p>
        </w:tc>
        <w:tc>
          <w:tcPr>
            <w:tcW w:w="189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Greg Johnston</w:t>
            </w:r>
          </w:p>
        </w:tc>
        <w:tc>
          <w:tcPr>
            <w:tcW w:w="18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rFonts w:ascii="Arial" w:hAnsi="Arial"/>
              </w:rPr>
            </w:pPr>
            <w:r>
              <w:rPr>
                <w:rFonts w:ascii="Arial" w:hAnsi="Arial"/>
              </w:rPr>
              <w:t xml:space="preserve">Kyle Kitagawa </w:t>
            </w:r>
          </w:p>
          <w:p>
            <w:pPr>
              <w:pStyle w:val="Normal"/>
              <w:tabs>
                <w:tab w:val="clear" w:pos="720"/>
              </w:tabs>
              <w:bidi w:val="0"/>
              <w:jc w:val="both"/>
              <w:rPr/>
            </w:pPr>
            <w:r>
              <w:rPr>
                <w:rFonts w:ascii="Arial" w:hAnsi="Arial"/>
              </w:rPr>
              <w:t>Eric Le Dain</w:t>
            </w:r>
          </w:p>
        </w:tc>
        <w:tc>
          <w:tcPr>
            <w:tcW w:w="171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Not Applicable</w:t>
            </w:r>
          </w:p>
        </w:tc>
        <w:tc>
          <w:tcPr>
            <w:tcW w:w="549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both"/>
              <w:rPr/>
            </w:pPr>
            <w:r>
              <w:rPr>
                <w:rFonts w:ascii="Arial" w:hAnsi="Arial"/>
              </w:rPr>
              <w:t>Packaging project for sale (turbines, queue position, land option, permitting) to potential third parties.    Discussions currently with various potential purchasers.    Turbine purchase agreements have been distributed to the potential buyers for review.    U.S. Department of Energy permit application regarding the international power line has been submitted and is being reviewed.    NEB permit application is being finalized for submission.</w:t>
            </w:r>
          </w:p>
        </w:tc>
      </w:tr>
      <w:tr>
        <w:trPr/>
        <w:tc>
          <w:tcPr>
            <w:tcW w:w="217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rFonts w:ascii="Arial" w:hAnsi="Arial"/>
              </w:rPr>
              <w:t>Shell/Sierra Pacific</w:t>
            </w:r>
          </w:p>
        </w:tc>
        <w:tc>
          <w:tcPr>
            <w:tcW w:w="189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Mark Powell</w:t>
            </w:r>
          </w:p>
        </w:tc>
        <w:tc>
          <w:tcPr>
            <w:tcW w:w="18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rFonts w:ascii="Arial" w:hAnsi="Arial"/>
              </w:rPr>
            </w:pPr>
            <w:r>
              <w:rPr>
                <w:rFonts w:ascii="Arial" w:hAnsi="Arial"/>
              </w:rPr>
              <w:t>Eric Le Dain</w:t>
            </w:r>
          </w:p>
          <w:p>
            <w:pPr>
              <w:pStyle w:val="Normal"/>
              <w:tabs>
                <w:tab w:val="clear" w:pos="720"/>
              </w:tabs>
              <w:bidi w:val="0"/>
              <w:jc w:val="both"/>
              <w:rPr/>
            </w:pPr>
            <w:r>
              <w:rPr>
                <w:rFonts w:ascii="Arial" w:hAnsi="Arial"/>
              </w:rPr>
              <w:t>Barry Tycholiz</w:t>
            </w:r>
          </w:p>
        </w:tc>
        <w:tc>
          <w:tcPr>
            <w:tcW w:w="171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 xml:space="preserve"> </w:t>
            </w:r>
            <w:r>
              <w:rPr>
                <w:rFonts w:ascii="Arial" w:hAnsi="Arial"/>
                <w:strike/>
              </w:rPr>
              <w:t>{May 31, 2001 Preparing and coordinating actual}</w:t>
            </w:r>
            <w:r>
              <w:rPr>
                <w:rFonts w:ascii="Arial" w:hAnsi="Arial"/>
              </w:rPr>
              <w:t xml:space="preserve"> </w:t>
            </w:r>
            <w:r>
              <w:rPr>
                <w:rFonts w:ascii="Arial" w:hAnsi="Arial"/>
                <w:u w:val="double"/>
              </w:rPr>
              <w:t>{June 30, 2001</w:t>
            </w:r>
          </w:p>
        </w:tc>
        <w:tc>
          <w:tcPr>
            <w:tcW w:w="549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both"/>
              <w:rPr/>
            </w:pPr>
            <w:r>
              <w:rPr>
                <w:rFonts w:ascii="Arial" w:hAnsi="Arial"/>
                <w:u w:val="double"/>
              </w:rPr>
              <w:t>Actual}</w:t>
            </w:r>
            <w:r>
              <w:rPr>
                <w:rFonts w:ascii="Arial" w:hAnsi="Arial"/>
              </w:rPr>
              <w:t xml:space="preserve"> assignments to satisfy conditions precedent to Assignment of long-term transportation capacity from Shell to Sierra through ECC/ENA </w:t>
            </w:r>
            <w:r>
              <w:rPr>
                <w:rFonts w:ascii="Arial" w:hAnsi="Arial"/>
                <w:u w:val="double"/>
              </w:rPr>
              <w:t>{complete. Negotiating amendments allowing for modification of one component of assignments to allow Shell to permanently assign component to a 3</w:t>
            </w:r>
            <w:r>
              <w:rPr>
                <w:rFonts w:ascii="Arial" w:hAnsi="Arial"/>
                <w:u w:val="double"/>
                <w:vertAlign w:val="superscript"/>
              </w:rPr>
              <w:t>rd</w:t>
            </w:r>
            <w:r>
              <w:rPr>
                <w:rFonts w:ascii="Arial" w:hAnsi="Arial"/>
              </w:rPr>
              <w:t xml:space="preserve"> </w:t>
            </w:r>
            <w:r>
              <w:rPr>
                <w:rFonts w:ascii="Arial" w:hAnsi="Arial"/>
                <w:u w:val="double"/>
              </w:rPr>
              <w:t>Party}</w:t>
            </w:r>
            <w:r>
              <w:rPr>
                <w:rFonts w:ascii="Arial" w:hAnsi="Arial"/>
              </w:rPr>
              <w:t>.</w:t>
            </w:r>
          </w:p>
        </w:tc>
      </w:tr>
      <w:tr>
        <w:trPr>
          <w:cantSplit w:val="true"/>
        </w:trPr>
        <w:tc>
          <w:tcPr>
            <w:tcW w:w="217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pPr>
            <w:r>
              <w:rPr>
                <w:rFonts w:ascii="Arial" w:hAnsi="Arial"/>
              </w:rPr>
              <w:t>Forms</w:t>
            </w:r>
          </w:p>
        </w:tc>
        <w:tc>
          <w:tcPr>
            <w:tcW w:w="189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rFonts w:ascii="Arial" w:hAnsi="Arial"/>
              </w:rPr>
            </w:pPr>
            <w:r>
              <w:rPr>
                <w:rFonts w:ascii="Arial" w:hAnsi="Arial"/>
              </w:rPr>
              <w:t>Greg Johnston</w:t>
            </w:r>
          </w:p>
          <w:p>
            <w:pPr>
              <w:pStyle w:val="Normal"/>
              <w:tabs>
                <w:tab w:val="clear" w:pos="720"/>
              </w:tabs>
              <w:bidi w:val="0"/>
              <w:jc w:val="both"/>
              <w:rPr>
                <w:rFonts w:ascii="Arial" w:hAnsi="Arial"/>
              </w:rPr>
            </w:pPr>
            <w:r>
              <w:rPr>
                <w:rFonts w:ascii="Arial" w:hAnsi="Arial"/>
              </w:rPr>
              <w:t>Chris Gaffney</w:t>
            </w:r>
          </w:p>
          <w:p>
            <w:pPr>
              <w:pStyle w:val="Normal"/>
              <w:tabs>
                <w:tab w:val="clear" w:pos="720"/>
              </w:tabs>
              <w:bidi w:val="0"/>
              <w:jc w:val="both"/>
              <w:rPr>
                <w:rFonts w:ascii="Arial" w:hAnsi="Arial"/>
              </w:rPr>
            </w:pPr>
            <w:r>
              <w:rPr>
                <w:rFonts w:ascii="Arial" w:hAnsi="Arial"/>
              </w:rPr>
              <w:t>Mark Powell</w:t>
            </w:r>
          </w:p>
          <w:p>
            <w:pPr>
              <w:pStyle w:val="Normal"/>
              <w:tabs>
                <w:tab w:val="clear" w:pos="720"/>
              </w:tabs>
              <w:bidi w:val="0"/>
              <w:jc w:val="both"/>
              <w:rPr/>
            </w:pPr>
            <w:r>
              <w:rPr>
                <w:rFonts w:ascii="Arial" w:hAnsi="Arial"/>
              </w:rPr>
              <w:t>Mary Cook</w:t>
            </w:r>
          </w:p>
        </w:tc>
        <w:tc>
          <w:tcPr>
            <w:tcW w:w="18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Derek Davies</w:t>
            </w:r>
          </w:p>
        </w:tc>
        <w:tc>
          <w:tcPr>
            <w:tcW w:w="171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1</w:t>
            </w:r>
            <w:r>
              <w:rPr>
                <w:rFonts w:ascii="Arial" w:hAnsi="Arial"/>
                <w:vertAlign w:val="superscript"/>
              </w:rPr>
              <w:t>st</w:t>
            </w:r>
            <w:r>
              <w:rPr>
                <w:rFonts w:ascii="Arial" w:hAnsi="Arial"/>
              </w:rPr>
              <w:t xml:space="preserve"> Qtr.</w:t>
            </w:r>
          </w:p>
        </w:tc>
        <w:tc>
          <w:tcPr>
            <w:tcW w:w="549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both"/>
              <w:rPr>
                <w:rFonts w:ascii="Arial" w:hAnsi="Arial"/>
              </w:rPr>
            </w:pPr>
            <w:r>
              <w:rPr>
                <w:rFonts w:ascii="Arial" w:hAnsi="Arial"/>
              </w:rPr>
              <w:t>Have prepared a form of one-off physical power supply agreement, based upon our Canadian form of Master Agreement.</w:t>
            </w:r>
          </w:p>
          <w:p>
            <w:pPr>
              <w:pStyle w:val="Header"/>
              <w:tabs>
                <w:tab w:val="clear" w:pos="4320"/>
                <w:tab w:val="clear" w:pos="8640"/>
              </w:tabs>
              <w:bidi w:val="0"/>
              <w:jc w:val="both"/>
              <w:rPr>
                <w:rFonts w:ascii="Arial" w:hAnsi="Arial"/>
              </w:rPr>
            </w:pPr>
            <w:r>
              <w:rPr>
                <w:rFonts w:ascii="Arial" w:hAnsi="Arial"/>
              </w:rPr>
              <w:t>Have revived “industrial” Master Agreement as alternative to ISDA Master Agreement for limited use with industrial counterparties, for small volumes, gas/power only, and no cross-border, cross-currency issues.</w:t>
            </w:r>
          </w:p>
          <w:p>
            <w:pPr>
              <w:pStyle w:val="Header"/>
              <w:tabs>
                <w:tab w:val="clear" w:pos="4320"/>
                <w:tab w:val="clear" w:pos="8640"/>
              </w:tabs>
              <w:bidi w:val="0"/>
              <w:jc w:val="both"/>
              <w:rPr>
                <w:rFonts w:ascii="Arial" w:hAnsi="Arial"/>
                <w:strike/>
              </w:rPr>
            </w:pPr>
            <w:r>
              <w:rPr>
                <w:rFonts w:ascii="Arial" w:hAnsi="Arial"/>
                <w:strike/>
              </w:rPr>
              <w:t>{    Chris Gaffney Paul Devries</w:t>
            </w:r>
          </w:p>
          <w:p>
            <w:pPr>
              <w:pStyle w:val="Header"/>
              <w:tabs>
                <w:tab w:val="clear" w:pos="4320"/>
                <w:tab w:val="clear" w:pos="8640"/>
              </w:tabs>
              <w:bidi w:val="0"/>
              <w:jc w:val="both"/>
              <w:rPr>
                <w:rFonts w:ascii="Arial" w:hAnsi="Arial"/>
                <w:u w:val="double"/>
              </w:rPr>
            </w:pPr>
            <w:r>
              <w:rPr>
                <w:rFonts w:ascii="Arial" w:hAnsi="Arial"/>
                <w:strike/>
              </w:rPr>
              <w:t>}</w:t>
            </w:r>
            <w:r>
              <w:rPr>
                <w:rFonts w:ascii="Arial" w:hAnsi="Arial"/>
                <w:u w:val="double"/>
              </w:rPr>
              <w:t>{Have completed physical gas and power forms for Enron Direct Canada.    Financial trading within Enron Direct Canada under consideration.</w:t>
            </w:r>
          </w:p>
          <w:p>
            <w:pPr>
              <w:pStyle w:val="Header"/>
              <w:tabs>
                <w:tab w:val="clear" w:pos="4320"/>
                <w:tab w:val="clear" w:pos="8640"/>
              </w:tabs>
              <w:bidi w:val="0"/>
              <w:jc w:val="both"/>
              <w:rPr/>
            </w:pPr>
            <w:r>
              <w:rPr>
                <w:rFonts w:ascii="Arial" w:hAnsi="Arial"/>
                <w:u w:val="double"/>
              </w:rPr>
              <w:t>Global customization of set-off language under consideration.</w:t>
            </w:r>
          </w:p>
        </w:tc>
      </w:tr>
      <w:tr>
        <w:trPr>
          <w:cantSplit w:val="true"/>
        </w:trPr>
        <w:tc>
          <w:tcPr>
            <w:tcW w:w="2177"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start"/>
              <w:rPr>
                <w:rFonts w:ascii="Arial" w:hAnsi="Arial"/>
                <w:u w:val="double"/>
              </w:rPr>
            </w:pPr>
            <w:r>
              <w:rPr>
                <w:rFonts w:ascii="Arial" w:hAnsi="Arial"/>
                <w:u w:val="double"/>
              </w:rPr>
            </w:r>
          </w:p>
        </w:tc>
        <w:tc>
          <w:tcPr>
            <w:tcW w:w="189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u w:val="double"/>
              </w:rPr>
              <w:t>Chris Gaffney</w:t>
            </w:r>
          </w:p>
        </w:tc>
        <w:tc>
          <w:tcPr>
            <w:tcW w:w="1889"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rFonts w:ascii="Arial" w:hAnsi="Arial"/>
              </w:rPr>
            </w:pPr>
            <w:r>
              <w:rPr>
                <w:rFonts w:ascii="Arial" w:hAnsi="Arial"/>
                <w:u w:val="double"/>
              </w:rPr>
              <w:t>Paul Devries}</w:t>
            </w:r>
          </w:p>
          <w:p>
            <w:pPr>
              <w:pStyle w:val="Normal"/>
              <w:tabs>
                <w:tab w:val="clear" w:pos="720"/>
              </w:tabs>
              <w:bidi w:val="0"/>
              <w:jc w:val="both"/>
              <w:rPr/>
            </w:pPr>
            <w:r>
              <w:rPr>
                <w:rFonts w:ascii="Arial" w:hAnsi="Arial"/>
              </w:rPr>
              <w:t>Garrett Tripp</w:t>
            </w:r>
          </w:p>
        </w:tc>
        <w:tc>
          <w:tcPr>
            <w:tcW w:w="1711" w:type="dxa"/>
            <w:tcBorders>
              <w:top w:val="single" w:sz="6" w:space="0" w:color="000000"/>
              <w:start w:val="single" w:sz="6" w:space="0" w:color="000000"/>
              <w:bottom w:val="single" w:sz="6" w:space="0" w:color="000000"/>
              <w:end w:val="single" w:sz="6" w:space="0" w:color="000000"/>
            </w:tcBorders>
          </w:tcPr>
          <w:p>
            <w:pPr>
              <w:pStyle w:val="Normal"/>
              <w:tabs>
                <w:tab w:val="clear" w:pos="720"/>
              </w:tabs>
              <w:bidi w:val="0"/>
              <w:jc w:val="both"/>
              <w:rPr/>
            </w:pPr>
            <w:r>
              <w:rPr>
                <w:rFonts w:ascii="Arial" w:hAnsi="Arial"/>
              </w:rPr>
              <w:t>2</w:t>
            </w:r>
            <w:r>
              <w:rPr>
                <w:rFonts w:ascii="Arial" w:hAnsi="Arial"/>
                <w:vertAlign w:val="superscript"/>
              </w:rPr>
              <w:t>nd</w:t>
            </w:r>
            <w:r>
              <w:rPr>
                <w:rFonts w:ascii="Arial" w:hAnsi="Arial"/>
              </w:rPr>
              <w:t xml:space="preserve"> Qtr. 2001</w:t>
            </w:r>
          </w:p>
        </w:tc>
        <w:tc>
          <w:tcPr>
            <w:tcW w:w="5490" w:type="dxa"/>
            <w:tcBorders>
              <w:top w:val="single" w:sz="6" w:space="0" w:color="000000"/>
              <w:start w:val="single" w:sz="6" w:space="0" w:color="000000"/>
              <w:bottom w:val="single" w:sz="6" w:space="0" w:color="000000"/>
              <w:end w:val="single" w:sz="6" w:space="0" w:color="000000"/>
            </w:tcBorders>
          </w:tcPr>
          <w:p>
            <w:pPr>
              <w:pStyle w:val="Header"/>
              <w:tabs>
                <w:tab w:val="clear" w:pos="4320"/>
                <w:tab w:val="clear" w:pos="8640"/>
              </w:tabs>
              <w:bidi w:val="0"/>
              <w:jc w:val="both"/>
              <w:rPr/>
            </w:pPr>
            <w:r>
              <w:rPr>
                <w:rFonts w:ascii="Arial" w:hAnsi="Arial"/>
              </w:rPr>
              <w:t>Preparation of Ontario standard physical (power) master agreement with committee of Ontario market participants based on EEI form.</w:t>
            </w:r>
          </w:p>
        </w:tc>
      </w:tr>
    </w:tbl>
    <w:p>
      <w:pPr>
        <w:pStyle w:val="Normal"/>
        <w:bidi w:val="0"/>
        <w:jc w:val="both"/>
        <w:rPr>
          <w:rFonts w:ascii="Arial" w:hAnsi="Arial"/>
        </w:rPr>
      </w:pPr>
      <w:r>
        <w:rPr>
          <w:rFonts w:ascii="Arial" w:hAnsi="Arial"/>
        </w:rPr>
      </w:r>
    </w:p>
    <w:p>
      <w:pPr>
        <w:pStyle w:val="Normal"/>
        <w:bidi w:val="0"/>
        <w:jc w:val="both"/>
        <w:rPr>
          <w:rFonts w:ascii="Arial" w:hAnsi="Arial"/>
        </w:rPr>
      </w:pPr>
      <w:r>
        <w:rPr>
          <w:rFonts w:ascii="Arial" w:hAnsi="Arial"/>
        </w:rPr>
      </w:r>
    </w:p>
    <w:p>
      <w:pPr>
        <w:pStyle w:val="Normal"/>
        <w:bidi w:val="0"/>
        <w:ind w:hanging="3600" w:start="3600"/>
        <w:jc w:val="both"/>
        <w:rPr>
          <w:rFonts w:ascii="Arial" w:hAnsi="Arial"/>
          <w:u w:val="single"/>
        </w:rPr>
      </w:pPr>
      <w:r>
        <w:rPr>
          <w:rFonts w:ascii="Arial" w:hAnsi="Arial"/>
          <w:u w:val="single"/>
        </w:rPr>
        <w:t>Non-Transactional/Other Matters:</w:t>
      </w:r>
    </w:p>
    <w:p>
      <w:pPr>
        <w:pStyle w:val="Normal"/>
        <w:bidi w:val="0"/>
        <w:ind w:hanging="3600" w:start="3600"/>
        <w:jc w:val="both"/>
        <w:rPr>
          <w:rFonts w:ascii="Arial" w:hAnsi="Arial"/>
        </w:rPr>
      </w:pPr>
      <w:r>
        <w:rPr>
          <w:rFonts w:ascii="Arial" w:hAnsi="Arial"/>
        </w:rPr>
      </w:r>
    </w:p>
    <w:p>
      <w:pPr>
        <w:pStyle w:val="Normal"/>
        <w:numPr>
          <w:ilvl w:val="0"/>
          <w:numId w:val="1"/>
        </w:numPr>
        <w:tabs>
          <w:tab w:val="left" w:pos="720" w:leader="none"/>
        </w:tabs>
        <w:bidi w:val="0"/>
        <w:ind w:hanging="720" w:start="720"/>
        <w:jc w:val="both"/>
        <w:rPr>
          <w:rFonts w:ascii="Arial" w:hAnsi="Arial"/>
        </w:rPr>
      </w:pPr>
      <w:r>
        <w:rPr>
          <w:rFonts w:ascii="Arial" w:hAnsi="Arial"/>
          <w:strike/>
        </w:rPr>
        <w:t>{Ongoing consultations/disputes with Alberta Government regarding Sundance B PPA, Market Rule Changes and No Harm Commitment (Peter Keohane). Complaint filed }</w:t>
      </w:r>
      <w:r>
        <w:rPr>
          <w:rFonts w:ascii="Arial" w:hAnsi="Arial"/>
          <w:u w:val="double"/>
        </w:rPr>
        <w:t>{Complaint filed and meeting held}</w:t>
      </w:r>
      <w:r>
        <w:rPr>
          <w:rFonts w:ascii="Arial" w:hAnsi="Arial"/>
        </w:rPr>
        <w:t xml:space="preserve"> with Market Surveillance Administrator regarding the Balancing Pool’s Clover Bar offer strategy (Peter Keohane).    </w:t>
      </w:r>
      <w:r>
        <w:rPr>
          <w:rFonts w:ascii="Arial" w:hAnsi="Arial"/>
          <w:u w:val="double"/>
        </w:rPr>
        <w:t>{No response yet.}</w:t>
      </w:r>
    </w:p>
    <w:p>
      <w:pPr>
        <w:pStyle w:val="Normal"/>
        <w:numPr>
          <w:ilvl w:val="0"/>
          <w:numId w:val="1"/>
        </w:numPr>
        <w:tabs>
          <w:tab w:val="left" w:pos="720" w:leader="none"/>
        </w:tabs>
        <w:bidi w:val="0"/>
        <w:ind w:hanging="720" w:start="720"/>
        <w:jc w:val="both"/>
        <w:rPr>
          <w:rFonts w:ascii="Arial" w:hAnsi="Arial"/>
        </w:rPr>
      </w:pPr>
      <w:r>
        <w:rPr>
          <w:rFonts w:ascii="Arial" w:hAnsi="Arial"/>
        </w:rPr>
        <w:t xml:space="preserve">Competition Law Seminar – Completed for Calgary, December 4, 2000; </w:t>
      </w:r>
      <w:r>
        <w:rPr>
          <w:rFonts w:ascii="Arial" w:hAnsi="Arial"/>
          <w:strike/>
        </w:rPr>
        <w:t>{scheduled}</w:t>
      </w:r>
      <w:r>
        <w:rPr>
          <w:rFonts w:ascii="Arial" w:hAnsi="Arial"/>
        </w:rPr>
        <w:t xml:space="preserve"> </w:t>
      </w:r>
      <w:r>
        <w:rPr>
          <w:rFonts w:ascii="Arial" w:hAnsi="Arial"/>
          <w:u w:val="double"/>
        </w:rPr>
        <w:t>{completed}</w:t>
      </w:r>
      <w:r>
        <w:rPr>
          <w:rFonts w:ascii="Arial" w:hAnsi="Arial"/>
        </w:rPr>
        <w:t xml:space="preserve"> for Toronto </w:t>
      </w:r>
      <w:r>
        <w:rPr>
          <w:rFonts w:ascii="Arial" w:hAnsi="Arial"/>
          <w:strike/>
        </w:rPr>
        <w:t>{for}</w:t>
      </w:r>
      <w:r>
        <w:rPr>
          <w:rFonts w:ascii="Arial" w:hAnsi="Arial"/>
          <w:u w:val="double"/>
        </w:rPr>
        <w:t>{,}</w:t>
      </w:r>
      <w:r>
        <w:rPr>
          <w:rFonts w:ascii="Arial" w:hAnsi="Arial"/>
        </w:rPr>
        <w:t xml:space="preserve"> May, 2001 (Peter Keohane/Chris Gaffney).</w:t>
      </w:r>
    </w:p>
    <w:p>
      <w:pPr>
        <w:pStyle w:val="Normal"/>
        <w:numPr>
          <w:ilvl w:val="0"/>
          <w:numId w:val="1"/>
        </w:numPr>
        <w:tabs>
          <w:tab w:val="left" w:pos="720" w:leader="none"/>
        </w:tabs>
        <w:bidi w:val="0"/>
        <w:ind w:hanging="720" w:start="720"/>
        <w:jc w:val="both"/>
        <w:rPr>
          <w:rFonts w:ascii="Arial" w:hAnsi="Arial"/>
          <w:sz w:val="22"/>
        </w:rPr>
      </w:pPr>
      <w:r>
        <w:rPr>
          <w:rFonts w:ascii="Arial" w:hAnsi="Arial"/>
        </w:rPr>
        <w:t xml:space="preserve">NGX/Canadian Enerdata litigation (Peter Keohane) – </w:t>
      </w:r>
      <w:r>
        <w:rPr>
          <w:rFonts w:ascii="Arial" w:hAnsi="Arial"/>
          <w:strike/>
        </w:rPr>
        <w:t>{Settlement discussions ongoing}</w:t>
      </w:r>
      <w:r>
        <w:rPr>
          <w:rFonts w:ascii="Arial" w:hAnsi="Arial"/>
        </w:rPr>
        <w:t xml:space="preserve"> </w:t>
      </w:r>
      <w:r>
        <w:rPr>
          <w:rFonts w:ascii="Arial" w:hAnsi="Arial"/>
          <w:u w:val="double"/>
        </w:rPr>
        <w:t>{Final settlement offer under consideration}</w:t>
      </w:r>
      <w:r>
        <w:rPr>
          <w:rFonts w:ascii="Arial" w:hAnsi="Arial"/>
        </w:rPr>
        <w:t>.</w:t>
      </w:r>
    </w:p>
    <w:p>
      <w:pPr>
        <w:pStyle w:val="Normal"/>
        <w:numPr>
          <w:ilvl w:val="0"/>
          <w:numId w:val="1"/>
        </w:numPr>
        <w:tabs>
          <w:tab w:val="left" w:pos="720" w:leader="none"/>
        </w:tabs>
        <w:bidi w:val="0"/>
        <w:ind w:hanging="720" w:start="720"/>
        <w:jc w:val="both"/>
        <w:rPr>
          <w:rFonts w:ascii="Arial" w:hAnsi="Arial"/>
          <w:sz w:val="22"/>
        </w:rPr>
      </w:pPr>
      <w:r>
        <w:rPr>
          <w:rFonts w:ascii="Arial" w:hAnsi="Arial"/>
          <w:sz w:val="22"/>
        </w:rPr>
      </w:r>
    </w:p>
    <w:p>
      <w:pPr>
        <w:pStyle w:val="Normal"/>
        <w:numPr>
          <w:ilvl w:val="0"/>
          <w:numId w:val="1"/>
        </w:numPr>
        <w:tabs>
          <w:tab w:val="left" w:pos="720" w:leader="none"/>
        </w:tabs>
        <w:bidi w:val="0"/>
        <w:ind w:hanging="720" w:start="720"/>
        <w:jc w:val="both"/>
        <w:rPr>
          <w:rFonts w:ascii="Arial" w:hAnsi="Arial"/>
          <w:sz w:val="22"/>
        </w:rPr>
      </w:pPr>
      <w:r>
        <w:rPr>
          <w:rFonts w:ascii="Arial" w:hAnsi="Arial"/>
          <w:sz w:val="22"/>
        </w:rPr>
        <w:t xml:space="preserve">This redlined draft, generated by CompareRite (TM) - The Instant Redliner, shows the differences between - </w:t>
      </w:r>
    </w:p>
    <w:p>
      <w:pPr>
        <w:pStyle w:val="Normal"/>
        <w:numPr>
          <w:ilvl w:val="0"/>
          <w:numId w:val="1"/>
        </w:numPr>
        <w:tabs>
          <w:tab w:val="left" w:pos="720" w:leader="none"/>
        </w:tabs>
        <w:bidi w:val="0"/>
        <w:ind w:hanging="720" w:start="720"/>
        <w:jc w:val="both"/>
        <w:rPr>
          <w:rFonts w:ascii="Arial" w:hAnsi="Arial"/>
          <w:sz w:val="22"/>
        </w:rPr>
      </w:pPr>
      <w:r>
        <w:rPr>
          <w:rFonts w:ascii="Arial" w:hAnsi="Arial"/>
          <w:sz w:val="22"/>
        </w:rPr>
        <w:t>original document      : I:\LEGAL\DEPT\REPORTS\FINANCE24.REPORT.DOC</w:t>
      </w:r>
    </w:p>
    <w:p>
      <w:pPr>
        <w:pStyle w:val="Normal"/>
        <w:numPr>
          <w:ilvl w:val="0"/>
          <w:numId w:val="1"/>
        </w:numPr>
        <w:tabs>
          <w:tab w:val="left" w:pos="720" w:leader="none"/>
        </w:tabs>
        <w:bidi w:val="0"/>
        <w:ind w:hanging="720" w:start="720"/>
        <w:jc w:val="both"/>
        <w:rPr>
          <w:rFonts w:ascii="Arial" w:hAnsi="Arial"/>
          <w:sz w:val="22"/>
        </w:rPr>
      </w:pPr>
      <w:r>
        <w:rPr>
          <w:rFonts w:ascii="Arial" w:hAnsi="Arial"/>
          <w:sz w:val="22"/>
        </w:rPr>
        <w:t>and revised document: I:\LEGAL\DEPT\REPORTS\FINANCE25.REPORT.DOC</w:t>
      </w:r>
    </w:p>
    <w:p>
      <w:pPr>
        <w:pStyle w:val="Normal"/>
        <w:numPr>
          <w:ilvl w:val="0"/>
          <w:numId w:val="1"/>
        </w:numPr>
        <w:tabs>
          <w:tab w:val="left" w:pos="720" w:leader="none"/>
        </w:tabs>
        <w:bidi w:val="0"/>
        <w:ind w:hanging="720" w:start="720"/>
        <w:jc w:val="both"/>
        <w:rPr>
          <w:rFonts w:ascii="Arial" w:hAnsi="Arial"/>
          <w:sz w:val="22"/>
        </w:rPr>
      </w:pPr>
      <w:r>
        <w:rPr>
          <w:rFonts w:ascii="Arial" w:hAnsi="Arial"/>
          <w:sz w:val="22"/>
        </w:rPr>
      </w:r>
    </w:p>
    <w:p>
      <w:pPr>
        <w:pStyle w:val="Normal"/>
        <w:numPr>
          <w:ilvl w:val="0"/>
          <w:numId w:val="1"/>
        </w:numPr>
        <w:tabs>
          <w:tab w:val="left" w:pos="720" w:leader="none"/>
        </w:tabs>
        <w:bidi w:val="0"/>
        <w:ind w:hanging="720" w:start="720"/>
        <w:jc w:val="both"/>
        <w:rPr>
          <w:rFonts w:ascii="Arial" w:hAnsi="Arial"/>
          <w:sz w:val="22"/>
        </w:rPr>
      </w:pPr>
      <w:r>
        <w:rPr>
          <w:rFonts w:ascii="Arial" w:hAnsi="Arial"/>
          <w:sz w:val="22"/>
        </w:rPr>
        <w:t>CompareRite found      30 change(s) in the text</w:t>
      </w:r>
    </w:p>
    <w:p>
      <w:pPr>
        <w:pStyle w:val="Normal"/>
        <w:numPr>
          <w:ilvl w:val="0"/>
          <w:numId w:val="1"/>
        </w:numPr>
        <w:tabs>
          <w:tab w:val="left" w:pos="720" w:leader="none"/>
        </w:tabs>
        <w:bidi w:val="0"/>
        <w:ind w:hanging="720" w:start="720"/>
        <w:jc w:val="both"/>
        <w:rPr>
          <w:rFonts w:ascii="Arial" w:hAnsi="Arial"/>
          <w:sz w:val="22"/>
        </w:rPr>
      </w:pPr>
      <w:r>
        <w:rPr>
          <w:rFonts w:ascii="Arial" w:hAnsi="Arial"/>
          <w:sz w:val="22"/>
        </w:rPr>
      </w:r>
    </w:p>
    <w:p>
      <w:pPr>
        <w:pStyle w:val="Normal"/>
        <w:numPr>
          <w:ilvl w:val="0"/>
          <w:numId w:val="1"/>
        </w:numPr>
        <w:tabs>
          <w:tab w:val="left" w:pos="720" w:leader="none"/>
        </w:tabs>
        <w:bidi w:val="0"/>
        <w:ind w:hanging="720" w:start="720"/>
        <w:jc w:val="both"/>
        <w:rPr>
          <w:rFonts w:ascii="Arial" w:hAnsi="Arial"/>
          <w:sz w:val="22"/>
        </w:rPr>
      </w:pPr>
      <w:r>
        <w:rPr>
          <w:rFonts w:ascii="Arial" w:hAnsi="Arial"/>
          <w:sz w:val="22"/>
        </w:rPr>
        <w:t>Deletions appear as Overstrike text surrounded by {}</w:t>
      </w:r>
    </w:p>
    <w:p>
      <w:pPr>
        <w:pStyle w:val="Normal"/>
        <w:numPr>
          <w:ilvl w:val="0"/>
          <w:numId w:val="1"/>
        </w:numPr>
        <w:tabs>
          <w:tab w:val="left" w:pos="720" w:leader="none"/>
        </w:tabs>
        <w:bidi w:val="0"/>
        <w:ind w:hanging="720" w:start="720"/>
        <w:jc w:val="both"/>
        <w:rPr>
          <w:rFonts w:ascii="Arial" w:hAnsi="Arial"/>
          <w:sz w:val="22"/>
        </w:rPr>
      </w:pPr>
      <w:r>
        <w:rPr>
          <w:rFonts w:ascii="Arial" w:hAnsi="Arial"/>
          <w:sz w:val="22"/>
        </w:rPr>
        <w:t>Additions appear as Double Underline text surrounded by {}</w:t>
      </w:r>
    </w:p>
    <w:sectPr>
      <w:headerReference w:type="even" r:id="rId2"/>
      <w:headerReference w:type="default" r:id="rId3"/>
      <w:headerReference w:type="first" r:id="rId4"/>
      <w:footerReference w:type="even" r:id="rId5"/>
      <w:footerReference w:type="default" r:id="rId6"/>
      <w:footerReference w:type="first" r:id="rId7"/>
      <w:type w:val="nextPage"/>
      <w:pgSz w:orient="landscape" w:w="15840" w:h="12240"/>
      <w:pgMar w:left="1440" w:right="1440" w:gutter="0" w:header="720" w:top="777" w:footer="288" w:bottom="72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Helv">
    <w:altName w:val="Arial"/>
    <w:charset w:val="01" w:characterSet="utf-8"/>
    <w:family w:val="roman"/>
    <w:pitch w:val="variable"/>
  </w:font>
  <w:font w:name="Arial Narrow">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5760" w:leader="none"/>
        <w:tab w:val="left" w:pos="10800" w:leader="none"/>
      </w:tabs>
      <w:bidi w:val="0"/>
      <w:jc w:val="start"/>
      <w:rPr>
        <w:rFonts w:ascii="Times New Roman" w:hAnsi="Times New Roman"/>
      </w:rPr>
    </w:pPr>
    <w:r>
      <w:rPr>
        <w:rFonts w:ascii="Arial Narrow" w:hAnsi="Arial Narrow"/>
        <w:sz w:val="16"/>
      </w:rPr>
      <w:fldChar w:fldCharType="begin"/>
    </w:r>
    <w:r>
      <w:rPr>
        <w:sz w:val="16"/>
        <w:rFonts w:ascii="Arial Narrow" w:hAnsi="Arial Narrow"/>
      </w:rPr>
      <w:instrText xml:space="preserve"> FILENAME \p </w:instrText>
    </w:r>
    <w:r>
      <w:rPr>
        <w:sz w:val="16"/>
        <w:rFonts w:ascii="Arial Narrow" w:hAnsi="Arial Narrow"/>
      </w:rPr>
      <w:fldChar w:fldCharType="separate"/>
    </w:r>
    <w:r>
      <w:rPr>
        <w:sz w:val="16"/>
        <w:rFonts w:ascii="Arial Narrow" w:hAnsi="Arial Narrow"/>
      </w:rPr>
      <w:t>/mnt/main-storage/datasets/enron-docs/doc/FINANCE25X24.COMPARE.REPORT.DOC</w:t>
    </w:r>
    <w:r>
      <w:rPr>
        <w:sz w:val="16"/>
        <w:rFonts w:ascii="Arial Narrow" w:hAnsi="Arial Narrow"/>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5760" w:leader="none"/>
        <w:tab w:val="left" w:pos="10800" w:leader="none"/>
      </w:tabs>
      <w:bidi w:val="0"/>
      <w:jc w:val="start"/>
      <w:rPr>
        <w:rFonts w:ascii="Times New Roman" w:hAnsi="Times New Roman"/>
      </w:rPr>
    </w:pPr>
    <w:r>
      <w:rPr>
        <w:rFonts w:ascii="Arial Narrow" w:hAnsi="Arial Narrow"/>
        <w:sz w:val="16"/>
      </w:rPr>
      <w:fldChar w:fldCharType="begin"/>
    </w:r>
    <w:r>
      <w:rPr>
        <w:sz w:val="16"/>
        <w:rFonts w:ascii="Arial Narrow" w:hAnsi="Arial Narrow"/>
      </w:rPr>
      <w:instrText xml:space="preserve"> FILENAME \p </w:instrText>
    </w:r>
    <w:r>
      <w:rPr>
        <w:sz w:val="16"/>
        <w:rFonts w:ascii="Arial Narrow" w:hAnsi="Arial Narrow"/>
      </w:rPr>
      <w:fldChar w:fldCharType="separate"/>
    </w:r>
    <w:r>
      <w:rPr>
        <w:sz w:val="16"/>
        <w:rFonts w:ascii="Arial Narrow" w:hAnsi="Arial Narrow"/>
      </w:rPr>
      <w:t>/mnt/main-storage/datasets/enron-docs/doc/FINANCE25X24.COMPARE.REPORT.DOC</w:t>
    </w:r>
    <w:r>
      <w:rPr>
        <w:sz w:val="16"/>
        <w:rFonts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Style w:val="PageNumber"/>
      </w:rPr>
    </w:pPr>
    <w:r>
      <w:rPr>
        <w:rFonts w:ascii="Arial" w:hAnsi="Arial"/>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Header"/>
      <w:bidi w:val="0"/>
      <w:jc w:val="end"/>
      <w:rPr>
        <w:rFonts w:ascii="Arial" w:hAnsi="Arial"/>
      </w:rPr>
    </w:pPr>
    <w:r>
      <w:rPr>
        <w:rFonts w:ascii="Arial" w:hAnsi="Arial"/>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Arial" w:cs="Helv"/>
      <w:color w:val="auto"/>
      <w:kern w:val="2"/>
      <w:sz w:val="20"/>
      <w:szCs w:val="24"/>
      <w:lang w:val="en-CA" w:eastAsia="zh-CN" w:bidi="hi-IN"/>
    </w:rPr>
  </w:style>
  <w:style w:type="character" w:styleId="DefaultParagraphFont">
    <w:name w:val="Default Paragraph Font"/>
    <w:qFormat/>
    <w:rPr>
      <w:sz w:val="20"/>
    </w:rPr>
  </w:style>
  <w:style w:type="character" w:styleId="PageNumber">
    <w:name w:val="page number"/>
    <w:basedOn w:val="DefaultParagraphFont"/>
    <w:rPr>
      <w:rFonts w:ascii="Arial" w:hAnsi="Arial"/>
    </w:rPr>
  </w:style>
  <w:style w:type="character" w:styleId="Hyperlink">
    <w:name w:val="Hyperlink"/>
    <w:basedOn w:val="DefaultParagraphFont"/>
    <w:rPr>
      <w:color w:val="0000FF"/>
      <w:u w:val="single"/>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tabs>
        <w:tab w:val="clear" w:pos="720"/>
        <w:tab w:val="center" w:pos="4320" w:leader="none"/>
        <w:tab w:val="right" w:pos="8640" w:leader="none"/>
      </w:tabs>
    </w:pPr>
    <w:rPr>
      <w:sz w:val="20"/>
    </w:rPr>
  </w:style>
  <w:style w:type="paragraph" w:styleId="Footer">
    <w:name w:val="footer"/>
    <w:basedOn w:val="Normal"/>
    <w:pPr>
      <w:tabs>
        <w:tab w:val="clear" w:pos="720"/>
        <w:tab w:val="center" w:pos="4320" w:leader="none"/>
        <w:tab w:val="right" w:pos="8640" w:leader="none"/>
      </w:tabs>
    </w:pPr>
    <w:rPr>
      <w:sz w:val="20"/>
    </w:rPr>
  </w:style>
  <w:style w:type="paragraph" w:styleId="Title">
    <w:name w:val="Title"/>
    <w:basedOn w:val="Normal"/>
    <w:qFormat/>
    <w:pPr>
      <w:jc w:val="center"/>
    </w:pPr>
    <w:rPr>
      <w:rFonts w:ascii="Arial" w:hAnsi="Arial"/>
      <w:b/>
      <w:sz w:val="20"/>
      <w:u w:val="single"/>
    </w:rPr>
  </w:style>
  <w:style w:type="paragraph" w:styleId="Subtitle">
    <w:name w:val="Subtitle"/>
    <w:basedOn w:val="Normal"/>
    <w:qFormat/>
    <w:pPr/>
    <w:rPr>
      <w:rFonts w:ascii="Arial" w:hAnsi="Arial"/>
      <w:b/>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1018</Words>
  <CharactersWithSpaces>5807</CharactersWithSpaces>
  <Company>ect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2001-05-09T13:11:00Z</dcterms:created>
  <dc:creator>Linda Sietzema</dc:creator>
  <dc:description/>
  <dc:language>en-CA</dc:language>
  <cp:lastModifiedBy/>
  <cp:lastPrinted>2001-05-11T11:42:00Z</cp:lastPrinted>
  <dcterms:modified xsi:type="dcterms:W3CDTF">2001-05-11T11:42:00Z</dcterms:modified>
  <cp:revision>7</cp:revision>
  <dc:subject/>
  <dc:title>Legal Transaction Status Report – Enron NA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scrawfo3</vt:lpwstr>
  </property>
</Properties>
</file>