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
        <w:numPr>
          <w:ilvl w:val="0"/>
          <w:numId w:val="0"/>
        </w:numPr>
        <w:ind w:hanging="0" w:start="0"/>
        <w:rPr>
          <w:rFonts w:cs="Arial"/>
        </w:rPr>
      </w:pPr>
      <w:r>
        <w:rPr>
          <w:rFonts w:cs="Arial"/>
        </w:rPr>
      </w:r>
    </w:p>
    <w:p>
      <w:pPr>
        <w:pStyle w:val="Heading"/>
        <w:rPr>
          <w:rFonts w:cs="Arial"/>
        </w:rPr>
      </w:pPr>
      <w:r>
        <w:rPr>
          <w:rFonts w:cs="Arial"/>
        </w:rPr>
        <w:t>BEFORE THE PUBLIC UTILITIES COMMISSION</w:t>
      </w:r>
    </w:p>
    <w:p>
      <w:pPr>
        <w:pStyle w:val="Subtitle"/>
        <w:rPr>
          <w:rFonts w:cs="Arial"/>
        </w:rPr>
      </w:pPr>
      <w:r>
        <w:rPr>
          <w:rFonts w:cs="Arial"/>
        </w:rPr>
        <w:t>OF THE STATE OF CALIFORNIA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5058"/>
        <w:gridCol w:w="3798"/>
      </w:tblGrid>
      <w:tr>
        <w:trPr/>
        <w:tc>
          <w:tcPr>
            <w:tcW w:w="505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798" w:type="dxa"/>
            <w:tcBorders>
              <w:start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I.99-07-003</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OPENING BRIEF OF AERA ENERGY LLC</w:t>
      </w:r>
    </w:p>
    <w:p>
      <w:pPr>
        <w:pStyle w:val="Heading"/>
        <w:rPr>
          <w:rFonts w:cs="Arial"/>
        </w:rPr>
      </w:pPr>
      <w:r>
        <w:rPr>
          <w:rFonts w:cs="Arial"/>
        </w:rPr>
        <w:t>REGARDING THE COMPREHENSIVE GAS OII SETTLEMENT AGREEMENT</w:t>
      </w:r>
    </w:p>
    <w:p>
      <w:pPr>
        <w:pStyle w:val="Heading"/>
        <w:rPr>
          <w:rFonts w:cs="Arial"/>
        </w:rPr>
      </w:pPr>
      <w:r>
        <w:rPr>
          <w:rFonts w:cs="Arial"/>
        </w:rPr>
        <w:t>FOR SOUTHERN CALIFORNIA GAS COMPANY AND</w:t>
      </w:r>
    </w:p>
    <w:p>
      <w:pPr>
        <w:pStyle w:val="Heading"/>
        <w:rPr>
          <w:rFonts w:cs="Arial"/>
        </w:rPr>
      </w:pPr>
      <w:r>
        <w:rPr>
          <w:rFonts w:cs="Arial"/>
        </w:rPr>
        <w:t>SAN DIEGO GAS &amp; ELECTRIC COMPANY</w:t>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t>Evelyn Kahl Elsesser, Esq.</w:t>
      </w:r>
    </w:p>
    <w:p>
      <w:pPr>
        <w:pStyle w:val="Normal"/>
        <w:jc w:val="end"/>
        <w:rPr>
          <w:rFonts w:ascii="Arial" w:hAnsi="Arial" w:cs="Arial"/>
        </w:rPr>
      </w:pPr>
      <w:r>
        <w:rPr>
          <w:rFonts w:cs="Arial" w:ascii="Arial" w:hAnsi="Arial"/>
        </w:rPr>
        <w:t>Christine H. Jun, Esq.</w:t>
      </w:r>
    </w:p>
    <w:p>
      <w:pPr>
        <w:pStyle w:val="Normal"/>
        <w:jc w:val="end"/>
        <w:rPr>
          <w:rFonts w:ascii="Arial" w:hAnsi="Arial" w:cs="Arial"/>
        </w:rPr>
      </w:pPr>
      <w:r>
        <w:rPr>
          <w:rFonts w:cs="Arial" w:ascii="Arial" w:hAnsi="Arial"/>
        </w:rPr>
        <w:t>Alcantar &amp; Elsesser LLP</w:t>
      </w:r>
    </w:p>
    <w:p>
      <w:pPr>
        <w:pStyle w:val="Normal"/>
        <w:jc w:val="end"/>
        <w:rPr>
          <w:rFonts w:ascii="Arial" w:hAnsi="Arial" w:cs="Arial"/>
        </w:rPr>
      </w:pPr>
      <w:r>
        <w:rPr>
          <w:rFonts w:cs="Arial" w:ascii="Arial" w:hAnsi="Arial"/>
        </w:rPr>
        <w:t>One Embarcadero Center Suite 2420</w:t>
      </w:r>
    </w:p>
    <w:p>
      <w:pPr>
        <w:pStyle w:val="Normal"/>
        <w:jc w:val="end"/>
        <w:rPr>
          <w:rFonts w:ascii="Arial" w:hAnsi="Arial" w:cs="Arial"/>
        </w:rPr>
      </w:pPr>
      <w:r>
        <w:rPr>
          <w:rFonts w:cs="Arial" w:ascii="Arial" w:hAnsi="Arial"/>
        </w:rPr>
        <w:t>San Francisco California  94111</w:t>
      </w:r>
    </w:p>
    <w:p>
      <w:pPr>
        <w:pStyle w:val="Normal"/>
        <w:jc w:val="end"/>
        <w:rPr>
          <w:rFonts w:ascii="Arial" w:hAnsi="Arial" w:cs="Arial"/>
        </w:rPr>
      </w:pPr>
      <w:r>
        <w:rPr>
          <w:rFonts w:cs="Arial" w:ascii="Arial" w:hAnsi="Arial"/>
        </w:rPr>
        <w:t>415.421.4143 – office</w:t>
      </w:r>
    </w:p>
    <w:p>
      <w:pPr>
        <w:pStyle w:val="Normal"/>
        <w:jc w:val="end"/>
        <w:rPr>
          <w:rFonts w:ascii="Arial" w:hAnsi="Arial" w:cs="Arial"/>
        </w:rPr>
      </w:pPr>
      <w:r>
        <w:rPr>
          <w:rFonts w:cs="Arial" w:ascii="Arial" w:hAnsi="Arial"/>
        </w:rPr>
        <w:t>415.989.1263 – fax</w:t>
      </w:r>
    </w:p>
    <w:p>
      <w:pPr>
        <w:pStyle w:val="Normal"/>
        <w:jc w:val="end"/>
        <w:rPr>
          <w:rFonts w:ascii="Arial" w:hAnsi="Arial" w:cs="Arial"/>
        </w:rPr>
      </w:pPr>
      <w:hyperlink r:id="rId2">
        <w:r>
          <w:rPr>
            <w:rStyle w:val="Hyperlink"/>
            <w:rFonts w:cs="Arial" w:ascii="Arial" w:hAnsi="Arial"/>
          </w:rPr>
          <w:t>eke@aelaw.com</w:t>
        </w:r>
      </w:hyperlink>
    </w:p>
    <w:p>
      <w:pPr>
        <w:pStyle w:val="Normal"/>
        <w:jc w:val="end"/>
        <w:rPr>
          <w:rFonts w:ascii="Arial" w:hAnsi="Arial" w:cs="Arial"/>
        </w:rPr>
      </w:pPr>
      <w:hyperlink r:id="rId3">
        <w:r>
          <w:rPr>
            <w:rStyle w:val="Hyperlink"/>
            <w:rFonts w:cs="Arial" w:ascii="Arial" w:hAnsi="Arial"/>
          </w:rPr>
          <w:t>chj@aelaw.com</w:t>
        </w:r>
      </w:hyperlink>
    </w:p>
    <w:p>
      <w:pPr>
        <w:pStyle w:val="Normal"/>
        <w:tabs>
          <w:tab w:val="clear" w:pos="720"/>
          <w:tab w:val="left" w:pos="3960" w:leader="none"/>
          <w:tab w:val="right" w:pos="8460" w:leader="none"/>
        </w:tabs>
        <w:jc w:val="both"/>
        <w:rPr>
          <w:rFonts w:ascii="Arial" w:hAnsi="Arial" w:cs="Arial"/>
        </w:rPr>
      </w:pPr>
      <w:r>
        <w:rPr>
          <w:rFonts w:cs="Arial" w:ascii="Arial" w:hAnsi="Arial"/>
        </w:rPr>
      </w:r>
    </w:p>
    <w:p>
      <w:pPr>
        <w:pStyle w:val="Normal"/>
        <w:tabs>
          <w:tab w:val="clear" w:pos="720"/>
          <w:tab w:val="left" w:pos="3960" w:leader="none"/>
          <w:tab w:val="right" w:pos="9000" w:leader="none"/>
        </w:tabs>
        <w:ind w:start="4140" w:end="0"/>
        <w:jc w:val="end"/>
        <w:rPr>
          <w:rFonts w:ascii="Arial" w:hAnsi="Arial" w:cs="Arial"/>
        </w:rPr>
      </w:pPr>
      <w:r>
        <w:rPr>
          <w:rFonts w:cs="Arial" w:ascii="Arial" w:hAnsi="Arial"/>
        </w:rPr>
        <w:t>Attorneys for Aera Energy LLC</w:t>
      </w:r>
    </w:p>
    <w:p>
      <w:pPr>
        <w:pStyle w:val="Normal"/>
        <w:tabs>
          <w:tab w:val="clear" w:pos="720"/>
          <w:tab w:val="left" w:pos="3960" w:leader="none"/>
          <w:tab w:val="right" w:pos="9000" w:leader="none"/>
        </w:tabs>
        <w:ind w:start="4140" w:end="0"/>
        <w:jc w:val="end"/>
        <w:rPr>
          <w:rFonts w:ascii="Arial" w:hAnsi="Arial" w:cs="Arial"/>
        </w:rPr>
      </w:pPr>
      <w:r>
        <w:rPr>
          <w:rFonts w:cs="Arial" w:ascii="Arial" w:hAnsi="Arial"/>
        </w:rPr>
      </w:r>
    </w:p>
    <w:p>
      <w:pPr>
        <w:pStyle w:val="Normal"/>
        <w:tabs>
          <w:tab w:val="clear" w:pos="720"/>
          <w:tab w:val="left" w:pos="3960" w:leader="none"/>
          <w:tab w:val="right" w:pos="9000" w:leader="none"/>
        </w:tabs>
        <w:ind w:hanging="4140" w:start="4140" w:end="0"/>
        <w:rPr>
          <w:rFonts w:ascii="Arial" w:hAnsi="Arial" w:cs="Arial"/>
        </w:rPr>
      </w:pPr>
      <w:r>
        <w:rPr>
          <w:rFonts w:cs="Arial" w:ascii="Arial" w:hAnsi="Arial"/>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rFonts w:ascii="Arial" w:hAnsi="Arial" w:cs="Arial"/>
        </w:rPr>
      </w:pPr>
      <w:r>
        <w:rPr>
          <w:rFonts w:cs="Arial" w:ascii="Arial" w:hAnsi="Arial"/>
        </w:rPr>
        <w:t>Dated:  July 10, 2000</w:t>
      </w:r>
    </w:p>
    <w:p>
      <w:pPr>
        <w:pStyle w:val="Normal"/>
        <w:jc w:val="center"/>
        <w:rPr>
          <w:rFonts w:ascii="Arial" w:hAnsi="Arial" w:cs="Arial"/>
        </w:rPr>
      </w:pPr>
      <w:r>
        <w:rPr>
          <w:rFonts w:cs="Arial" w:ascii="Arial" w:hAnsi="Arial"/>
          <w:b/>
          <w:bCs/>
          <w:sz w:val="28"/>
        </w:rPr>
        <w:t>Table of Contents</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sdt>
      <w:sdtPr>
        <w:docPartObj>
          <w:docPartGallery w:val="Table of Contents"/>
          <w:docPartUnique w:val="true"/>
        </w:docPartObj>
      </w:sdtPr>
      <w:sdtContent>
        <w:p>
          <w:pPr>
            <w:pStyle w:val="TOC1"/>
            <w:tabs>
              <w:tab w:val="left" w:pos="720" w:leader="none"/>
              <w:tab w:val="right" w:pos="9350" w:leader="dot"/>
            </w:tabs>
            <w:rPr>
              <w:rFonts w:ascii="Arial" w:hAnsi="Arial" w:cs="Arial"/>
              <w:lang w:val="en-CA" w:eastAsia="en-CA"/>
            </w:rPr>
          </w:pPr>
          <w:r>
            <w:fldChar w:fldCharType="begin"/>
          </w:r>
          <w:r>
            <w:rPr>
              <w:rStyle w:val="IndexLink"/>
              <w:rFonts w:cs="Arial" w:ascii="Arial" w:hAnsi="Arial"/>
              <w:lang w:val="en-CA" w:eastAsia="en-CA"/>
            </w:rPr>
            <w:instrText xml:space="preserve"> TOC \o "1-3" \h \z </w:instrText>
          </w:r>
          <w:r>
            <w:rPr>
              <w:rStyle w:val="IndexLink"/>
              <w:rFonts w:cs="Arial" w:ascii="Arial" w:hAnsi="Arial"/>
              <w:lang w:val="en-CA" w:eastAsia="en-CA"/>
            </w:rPr>
            <w:fldChar w:fldCharType="separate"/>
          </w:r>
          <w:hyperlink w:anchor="__RefHeading___Toc487872859">
            <w:r>
              <w:rPr>
                <w:rStyle w:val="IndexLink"/>
                <w:rFonts w:cs="Arial" w:ascii="Arial" w:hAnsi="Arial"/>
                <w:lang w:val="en-CA" w:eastAsia="en-CA"/>
              </w:rPr>
              <w:t xml:space="preserve">I.  </w:t>
              <w:tab/>
              <w:t>INTRODUCTION</w:t>
              <w:tab/>
              <w:t>1</w:t>
            </w:r>
          </w:hyperlink>
        </w:p>
        <w:p>
          <w:pPr>
            <w:pStyle w:val="TOC1"/>
            <w:tabs>
              <w:tab w:val="clear" w:pos="720"/>
              <w:tab w:val="left" w:pos="480" w:leader="none"/>
              <w:tab w:val="right" w:pos="9350" w:leader="dot"/>
            </w:tabs>
            <w:rPr>
              <w:rFonts w:ascii="Arial" w:hAnsi="Arial" w:cs="Arial"/>
              <w:lang w:val="en-CA" w:eastAsia="en-CA"/>
            </w:rPr>
          </w:pPr>
          <w:hyperlink w:anchor="__RefHeading___Toc487872860">
            <w:r>
              <w:rPr>
                <w:rStyle w:val="IndexLink"/>
                <w:rFonts w:cs="Arial" w:ascii="Arial" w:hAnsi="Arial"/>
                <w:lang w:val="en-CA" w:eastAsia="en-CA"/>
              </w:rPr>
              <w:t>II.</w:t>
              <w:tab/>
              <w:t>BACKGROUND</w:t>
              <w:tab/>
              <w:t>2</w:t>
            </w:r>
          </w:hyperlink>
        </w:p>
        <w:p>
          <w:pPr>
            <w:pStyle w:val="TOC1"/>
            <w:tabs>
              <w:tab w:val="left" w:pos="720" w:leader="none"/>
              <w:tab w:val="right" w:pos="9350" w:leader="dot"/>
            </w:tabs>
            <w:rPr>
              <w:rFonts w:ascii="Arial" w:hAnsi="Arial" w:cs="Arial"/>
              <w:lang w:val="en-CA" w:eastAsia="en-CA"/>
            </w:rPr>
          </w:pPr>
          <w:hyperlink w:anchor="__RefHeading___Toc487872861">
            <w:r>
              <w:rPr>
                <w:rStyle w:val="IndexLink"/>
                <w:rFonts w:cs="Arial" w:ascii="Arial" w:hAnsi="Arial"/>
                <w:lang w:val="en-CA" w:eastAsia="en-CA"/>
              </w:rPr>
              <w:t>III.</w:t>
              <w:tab/>
              <w:t>DISCUSSION</w:t>
              <w:tab/>
              <w:t>3</w:t>
            </w:r>
          </w:hyperlink>
        </w:p>
        <w:p>
          <w:pPr>
            <w:pStyle w:val="TOC1"/>
            <w:tabs>
              <w:tab w:val="clear" w:pos="720"/>
              <w:tab w:val="left" w:pos="480" w:leader="none"/>
              <w:tab w:val="right" w:pos="9350" w:leader="dot"/>
            </w:tabs>
            <w:rPr>
              <w:rFonts w:ascii="Arial" w:hAnsi="Arial" w:cs="Arial"/>
              <w:lang w:val="en-CA" w:eastAsia="en-CA"/>
            </w:rPr>
          </w:pPr>
          <w:hyperlink w:anchor="__RefHeading___Toc487872862">
            <w:r>
              <w:rPr>
                <w:rStyle w:val="IndexLink"/>
                <w:rFonts w:cs="Arial" w:ascii="Arial" w:hAnsi="Arial"/>
                <w:lang w:val="en-CA" w:eastAsia="en-CA"/>
              </w:rPr>
              <w:t>A.</w:t>
              <w:tab/>
              <w:t>Aera’s Interest in the Treatment of Existing EOR Contracts In the Restructured Gas Industry Can Be Traced to the Commission’s Policy Regarding EOR Contracts As Articulated in Decision 86-12-009.</w:t>
              <w:tab/>
              <w:t>3</w:t>
            </w:r>
          </w:hyperlink>
        </w:p>
        <w:p>
          <w:pPr>
            <w:pStyle w:val="TOC1"/>
            <w:tabs>
              <w:tab w:val="clear" w:pos="720"/>
              <w:tab w:val="left" w:pos="480" w:leader="none"/>
              <w:tab w:val="right" w:pos="9350" w:leader="dot"/>
            </w:tabs>
            <w:rPr>
              <w:rFonts w:ascii="Arial" w:hAnsi="Arial" w:cs="Arial"/>
              <w:lang w:val="en-CA" w:eastAsia="en-CA"/>
            </w:rPr>
          </w:pPr>
          <w:hyperlink w:anchor="__RefHeading___Toc487872863">
            <w:r>
              <w:rPr>
                <w:rStyle w:val="IndexLink"/>
                <w:rFonts w:cs="Arial" w:ascii="Arial" w:hAnsi="Arial"/>
                <w:lang w:val="en-CA" w:eastAsia="en-CA"/>
              </w:rPr>
              <w:t>B.</w:t>
              <w:tab/>
              <w:t>The Comprehensive Settlement May Affect the Interpretation or Operation of Existing Contracts But It Does Not Foreclose the Contracting Parties From Honoring the Express Provisions of Contracts.</w:t>
              <w:tab/>
              <w:t>5</w:t>
            </w:r>
          </w:hyperlink>
        </w:p>
        <w:p>
          <w:pPr>
            <w:pStyle w:val="TOC1"/>
            <w:tabs>
              <w:tab w:val="clear" w:pos="720"/>
              <w:tab w:val="left" w:pos="480" w:leader="none"/>
              <w:tab w:val="right" w:pos="9350" w:leader="dot"/>
            </w:tabs>
            <w:rPr>
              <w:rFonts w:ascii="Arial" w:hAnsi="Arial" w:cs="Arial"/>
              <w:lang w:val="en-CA" w:eastAsia="en-CA"/>
            </w:rPr>
          </w:pPr>
          <w:hyperlink w:anchor="__RefHeading___Toc487872864">
            <w:r>
              <w:rPr>
                <w:rStyle w:val="IndexLink"/>
                <w:rFonts w:cs="Arial" w:ascii="Arial" w:hAnsi="Arial"/>
                <w:lang w:val="en-CA" w:eastAsia="en-CA"/>
              </w:rPr>
              <w:t>C.</w:t>
              <w:tab/>
              <w:t>The Commission Should Not Explore or Litigate the Treatment of Individual Contracts in this Broad Policy Investigation.</w:t>
              <w:tab/>
              <w:t>6</w:t>
            </w:r>
          </w:hyperlink>
        </w:p>
        <w:p>
          <w:pPr>
            <w:pStyle w:val="TOC1"/>
            <w:tabs>
              <w:tab w:val="left" w:pos="720" w:leader="none"/>
              <w:tab w:val="right" w:pos="9350" w:leader="dot"/>
            </w:tabs>
            <w:rPr>
              <w:rFonts w:ascii="Arial" w:hAnsi="Arial" w:cs="Arial"/>
              <w:lang w:val="en-CA" w:eastAsia="en-CA"/>
            </w:rPr>
          </w:pPr>
          <w:hyperlink w:anchor="__RefHeading___Toc487872865">
            <w:r>
              <w:rPr>
                <w:rStyle w:val="IndexLink"/>
                <w:rFonts w:cs="Arial" w:ascii="Arial" w:hAnsi="Arial"/>
                <w:lang w:val="en-CA" w:eastAsia="en-CA"/>
              </w:rPr>
              <w:t>IV.</w:t>
              <w:tab/>
              <w:t>CONCLUSION</w:t>
              <w:tab/>
              <w:t>10</w:t>
            </w:r>
          </w:hyperlink>
          <w:r>
            <w:rPr>
              <w:rStyle w:val="IndexLink"/>
              <w:rFonts w:cs="Arial" w:ascii="Arial" w:hAnsi="Arial"/>
              <w:lang w:val="en-CA" w:eastAsia="en-CA"/>
            </w:rPr>
            <w:fldChar w:fldCharType="end"/>
          </w:r>
        </w:p>
      </w:sdtContent>
    </w:sdt>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Pleading"/>
        <w:numPr>
          <w:ilvl w:val="0"/>
          <w:numId w:val="0"/>
        </w:numPr>
        <w:ind w:hanging="0" w:start="0"/>
        <w:rPr>
          <w:rFonts w:ascii="Arial" w:hAnsi="Arial" w:cs="Arial"/>
          <w:lang w:val="en-CA" w:eastAsia="en-CA"/>
        </w:rPr>
      </w:pPr>
      <w:r>
        <w:rPr>
          <w:rFonts w:cs="Arial"/>
          <w:lang w:val="en-CA" w:eastAsia="en-CA"/>
        </w:rPr>
      </w:r>
    </w:p>
    <w:p>
      <w:pPr>
        <w:pStyle w:val="Normal"/>
        <w:rPr>
          <w:rFonts w:ascii="Arial" w:hAnsi="Arial" w:cs="Arial"/>
          <w:bCs/>
        </w:rPr>
      </w:pPr>
      <w:r>
        <w:rPr>
          <w:rFonts w:cs="Arial" w:ascii="Arial" w:hAnsi="Arial"/>
          <w:bCs/>
        </w:rPr>
      </w:r>
    </w:p>
    <w:p>
      <w:pPr>
        <w:pStyle w:val="Subtitle"/>
        <w:rPr>
          <w:rFonts w:cs="Arial"/>
          <w:bCs/>
        </w:rPr>
      </w:pPr>
      <w:r>
        <w:rPr>
          <w:rFonts w:cs="Arial"/>
          <w:bCs/>
        </w:rPr>
        <w:t>TABLE OF AUTHORITIES</w:t>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Heading1"/>
        <w:rPr>
          <w:bCs w:val="false"/>
        </w:rPr>
      </w:pPr>
      <w:r>
        <w:rPr>
          <w:bCs w:val="false"/>
        </w:rPr>
        <w:t>Commission Decisions</w:t>
      </w:r>
    </w:p>
    <w:p>
      <w:pPr>
        <w:pStyle w:val="Normal"/>
        <w:rPr>
          <w:rFonts w:ascii="Arial" w:hAnsi="Arial" w:cs="Arial"/>
          <w:b/>
          <w:bCs/>
        </w:rPr>
      </w:pPr>
      <w:r>
        <w:rPr>
          <w:rFonts w:cs="Arial" w:ascii="Arial" w:hAnsi="Arial"/>
          <w:b/>
          <w:bCs/>
        </w:rPr>
      </w:r>
    </w:p>
    <w:sdt>
      <w:sdtPr>
        <w:docPartObj>
          <w:docPartGallery w:val="Table of Contents"/>
          <w:docPartUnique w:val="true"/>
        </w:docPartObj>
      </w:sdtPr>
      <w:sdtContent>
        <w:p>
          <w:pPr>
            <w:pStyle w:val="TOC1"/>
            <w:tabs>
              <w:tab w:val="clear" w:pos="720"/>
              <w:tab w:val="right" w:pos="9350" w:leader="dot"/>
            </w:tabs>
            <w:rPr>
              <w:rFonts w:cs="Arial"/>
            </w:rPr>
          </w:pPr>
          <w:r>
            <w:fldChar w:fldCharType="begin"/>
          </w:r>
          <w:r>
            <w:rPr>
              <w:bCs/>
              <w:rFonts w:cs="Arial" w:ascii="Arial" w:hAnsi="Arial"/>
              <w:lang w:val="en-CA" w:eastAsia="en-CA"/>
            </w:rPr>
            <w:instrText xml:space="preserve">toc \f C \e 1-3 </w:instrText>
          </w:r>
          <w:r>
            <w:rPr>
              <w:bCs/>
              <w:rFonts w:cs="Arial" w:ascii="Arial" w:hAnsi="Arial"/>
              <w:lang w:val="en-CA" w:eastAsia="en-CA"/>
            </w:rPr>
            <w:fldChar w:fldCharType="separate"/>
          </w:r>
          <w:r>
            <w:rPr>
              <w:rFonts w:cs="Arial" w:ascii="Arial" w:hAnsi="Arial"/>
              <w:bCs/>
              <w:lang w:val="en-CA" w:eastAsia="en-CA"/>
            </w:rPr>
            <w:t xml:space="preserve">D. </w:t>
          </w:r>
          <w:r>
            <w:rPr>
              <w:rFonts w:cs="Arial" w:ascii="Arial" w:hAnsi="Arial"/>
            </w:rPr>
            <w:t>86-12-009</w:t>
          </w:r>
          <w:r>
            <w:rPr>
              <w:rFonts w:cs="Arial" w:ascii="Arial" w:hAnsi="Arial"/>
              <w:bCs/>
              <w:lang w:val="en-CA" w:eastAsia="en-CA"/>
            </w:rPr>
            <w:tab/>
            <w:t>6, 7</w:t>
          </w:r>
        </w:p>
        <w:p>
          <w:pPr>
            <w:pStyle w:val="TOC1"/>
            <w:tabs>
              <w:tab w:val="clear" w:pos="720"/>
              <w:tab w:val="right" w:pos="9350" w:leader="dot"/>
            </w:tabs>
            <w:rPr>
              <w:rFonts w:ascii="Arial" w:hAnsi="Arial" w:cs="Arial"/>
              <w:bCs/>
              <w:lang w:val="en-CA" w:eastAsia="en-CA"/>
            </w:rPr>
          </w:pPr>
          <w:r>
            <w:rPr>
              <w:rFonts w:cs="Arial" w:ascii="Arial" w:hAnsi="Arial"/>
              <w:bCs/>
              <w:lang w:val="en-CA" w:eastAsia="en-CA"/>
            </w:rPr>
          </w:r>
        </w:p>
        <w:p>
          <w:pPr>
            <w:pStyle w:val="Heading1"/>
            <w:rPr/>
          </w:pPr>
          <w:r>
            <w:rPr/>
            <w:t>General Orders</w:t>
          </w:r>
        </w:p>
        <w:p>
          <w:pPr>
            <w:pStyle w:val="TOC1"/>
            <w:rPr>
              <w:rFonts w:ascii="Arial" w:hAnsi="Arial" w:cs="Arial"/>
            </w:rPr>
          </w:pPr>
          <w:r>
            <w:rPr>
              <w:rFonts w:cs="Arial" w:ascii="Arial" w:hAnsi="Arial"/>
            </w:rPr>
          </w:r>
        </w:p>
        <w:p>
          <w:pPr>
            <w:pStyle w:val="TOC1"/>
            <w:tabs>
              <w:tab w:val="clear" w:pos="720"/>
              <w:tab w:val="right" w:pos="9350" w:leader="dot"/>
            </w:tabs>
            <w:rPr>
              <w:rFonts w:ascii="Arial" w:hAnsi="Arial" w:cs="Arial"/>
              <w:bCs/>
              <w:lang w:val="en-CA" w:eastAsia="en-CA"/>
            </w:rPr>
          </w:pPr>
          <w:r>
            <w:rPr>
              <w:rFonts w:cs="Arial" w:ascii="Arial" w:hAnsi="Arial"/>
              <w:bCs/>
              <w:lang w:val="en-CA" w:eastAsia="en-CA"/>
            </w:rPr>
            <w:t>G.O. 96-A</w:t>
            <w:tab/>
            <w:t>7, 8</w:t>
          </w:r>
        </w:p>
        <w:p>
          <w:pPr>
            <w:pStyle w:val="TOC2"/>
            <w:tabs>
              <w:tab w:val="clear" w:pos="720"/>
              <w:tab w:val="right" w:pos="9350" w:leader="dot"/>
            </w:tabs>
            <w:rPr>
              <w:rFonts w:ascii="Arial" w:hAnsi="Arial" w:cs="Arial"/>
              <w:bCs/>
              <w:lang w:val="en-CA" w:eastAsia="en-CA"/>
            </w:rPr>
          </w:pPr>
          <w:r>
            <w:rPr>
              <w:rFonts w:cs="Arial" w:ascii="Arial" w:hAnsi="Arial"/>
              <w:bCs/>
              <w:lang w:val="en-CA" w:eastAsia="en-CA"/>
            </w:rPr>
          </w:r>
        </w:p>
        <w:p>
          <w:pPr>
            <w:pStyle w:val="TOC2"/>
            <w:tabs>
              <w:tab w:val="clear" w:pos="720"/>
              <w:tab w:val="right" w:pos="9350" w:leader="dot"/>
            </w:tabs>
            <w:rPr>
              <w:rFonts w:ascii="Arial" w:hAnsi="Arial" w:cs="Arial"/>
              <w:bCs/>
              <w:lang w:val="en-CA" w:eastAsia="en-CA"/>
            </w:rPr>
          </w:pPr>
          <w:r>
            <w:rPr>
              <w:rFonts w:cs="Arial" w:ascii="Arial" w:hAnsi="Arial"/>
              <w:bCs/>
              <w:lang w:val="en-CA" w:eastAsia="en-CA"/>
            </w:rPr>
          </w:r>
        </w:p>
        <w:p>
          <w:pPr>
            <w:pStyle w:val="TOC1"/>
            <w:tabs>
              <w:tab w:val="clear" w:pos="720"/>
              <w:tab w:val="right" w:pos="9350" w:leader="dot"/>
            </w:tabs>
            <w:rPr>
              <w:rFonts w:ascii="Arial" w:hAnsi="Arial" w:cs="Arial"/>
              <w:bCs/>
              <w:lang w:val="en-CA" w:eastAsia="en-CA"/>
            </w:rPr>
          </w:pPr>
          <w:r>
            <w:rPr>
              <w:rFonts w:cs="Arial" w:ascii="Arial" w:hAnsi="Arial"/>
              <w:bCs/>
              <w:lang w:val="en-CA" w:eastAsia="en-CA"/>
            </w:rPr>
          </w:r>
        </w:p>
        <w:p>
          <w:pPr>
            <w:pStyle w:val="TOC2"/>
            <w:tabs>
              <w:tab w:val="clear" w:pos="720"/>
              <w:tab w:val="right" w:pos="9350" w:leader="dot"/>
            </w:tabs>
            <w:rPr>
              <w:rFonts w:ascii="Arial" w:hAnsi="Arial" w:cs="Arial"/>
              <w:bCs/>
              <w:lang w:val="en-CA" w:eastAsia="en-CA"/>
            </w:rPr>
          </w:pPr>
          <w:r>
            <w:rPr>
              <w:rFonts w:cs="Arial" w:ascii="Arial" w:hAnsi="Arial"/>
              <w:bCs/>
              <w:lang w:val="en-CA" w:eastAsia="en-CA"/>
            </w:rPr>
          </w:r>
        </w:p>
        <w:p>
          <w:pPr>
            <w:pStyle w:val="TOC1"/>
            <w:tabs>
              <w:tab w:val="clear" w:pos="720"/>
              <w:tab w:val="right" w:pos="9350" w:leader="dot"/>
            </w:tabs>
            <w:rPr>
              <w:rFonts w:ascii="Arial" w:hAnsi="Arial" w:cs="Arial"/>
              <w:bCs/>
              <w:lang w:val="en-CA" w:eastAsia="en-CA"/>
            </w:rPr>
          </w:pPr>
          <w:r>
            <w:rPr>
              <w:rFonts w:cs="Arial" w:ascii="Arial" w:hAnsi="Arial"/>
              <w:bCs/>
              <w:lang w:val="en-CA" w:eastAsia="en-CA"/>
            </w:rPr>
          </w:r>
        </w:p>
        <w:p>
          <w:pPr>
            <w:pStyle w:val="TOC2"/>
            <w:tabs>
              <w:tab w:val="clear" w:pos="720"/>
              <w:tab w:val="right" w:pos="9350" w:leader="dot"/>
            </w:tabs>
            <w:rPr>
              <w:rFonts w:ascii="Arial" w:hAnsi="Arial" w:cs="Arial"/>
              <w:bCs/>
              <w:lang w:val="en-CA" w:eastAsia="en-CA"/>
            </w:rPr>
          </w:pPr>
          <w:r>
            <w:rPr>
              <w:rFonts w:cs="Arial" w:ascii="Arial" w:hAnsi="Arial"/>
              <w:bCs/>
              <w:lang w:val="en-CA" w:eastAsia="en-CA"/>
            </w:rPr>
          </w:r>
          <w:r>
            <w:rPr>
              <w:bCs/>
              <w:rFonts w:cs="Arial" w:ascii="Arial" w:hAnsi="Arial"/>
              <w:lang w:val="en-CA" w:eastAsia="en-CA"/>
            </w:rPr>
            <w:fldChar w:fldCharType="end"/>
          </w:r>
        </w:p>
      </w:sdtContent>
    </w:sdt>
    <w:p>
      <w:pPr>
        <w:pStyle w:val="Normal"/>
        <w:tabs>
          <w:tab w:val="clear" w:pos="720"/>
          <w:tab w:val="left" w:pos="-720" w:leader="none"/>
        </w:tabs>
        <w:suppressAutoHyphens w:val="true"/>
        <w:rPr>
          <w:rFonts w:ascii="Arial" w:hAnsi="Arial" w:cs="Arial"/>
          <w:bCs/>
          <w:lang w:val="en-CA" w:eastAsia="en-CA"/>
        </w:rPr>
      </w:pPr>
      <w:r>
        <w:rPr>
          <w:rFonts w:cs="Arial" w:ascii="Arial" w:hAnsi="Arial"/>
          <w:bCs/>
          <w:lang w:val="en-CA" w:eastAsia="en-CA"/>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2" w:fmt="lowerRoman"/>
          <w:formProt w:val="false"/>
          <w:titlePg/>
          <w:textDirection w:val="lrTb"/>
          <w:docGrid w:type="default" w:linePitch="360" w:charSpace="0"/>
        </w:sectPr>
        <w:pStyle w:val="Normal"/>
        <w:rPr>
          <w:rFonts w:ascii="Arial" w:hAnsi="Arial" w:cs="Arial"/>
          <w:bCs/>
        </w:rPr>
      </w:pPr>
      <w:r>
        <w:rPr>
          <w:rFonts w:cs="Arial" w:ascii="Arial" w:hAnsi="Arial"/>
          <w:bCs/>
        </w:rPr>
      </w:r>
    </w:p>
    <w:p>
      <w:pPr>
        <w:pStyle w:val="Normal"/>
        <w:jc w:val="center"/>
        <w:rPr>
          <w:rFonts w:ascii="Arial" w:hAnsi="Arial" w:cs="Arial"/>
          <w:b/>
          <w:bCs/>
        </w:rPr>
      </w:pPr>
      <w:r>
        <w:rPr>
          <w:rFonts w:cs="Arial" w:ascii="Arial" w:hAnsi="Arial"/>
          <w:b/>
          <w:bCs/>
        </w:rPr>
        <w:t>BEFORE THE PUBLIC UTILITIES COMMISSION</w:t>
      </w:r>
    </w:p>
    <w:p>
      <w:pPr>
        <w:pStyle w:val="Subtitle"/>
        <w:rPr>
          <w:rFonts w:cs="Arial"/>
        </w:rPr>
      </w:pPr>
      <w:r>
        <w:rPr>
          <w:rFonts w:cs="Arial"/>
          <w:bCs/>
        </w:rPr>
        <w:t>OF THE STATE OF CALIFORNIA</w:t>
      </w:r>
    </w:p>
    <w:p>
      <w:pPr>
        <w:pStyle w:val="Normal"/>
        <w:rPr>
          <w:rFonts w:ascii="Arial" w:hAnsi="Arial" w:cs="Arial"/>
        </w:rPr>
      </w:pPr>
      <w:r>
        <w:rPr>
          <w:rFonts w:cs="Arial" w:ascii="Arial" w:hAnsi="Arial"/>
        </w:rPr>
      </w:r>
    </w:p>
    <w:p>
      <w:pPr>
        <w:pStyle w:val="Pleading"/>
        <w:numPr>
          <w:ilvl w:val="0"/>
          <w:numId w:val="0"/>
        </w:numPr>
        <w:ind w:hanging="0" w:start="0"/>
        <w:rPr>
          <w:rFonts w:ascii="Arial" w:hAnsi="Arial" w:cs="Arial"/>
        </w:rPr>
      </w:pPr>
      <w:r>
        <w:rPr>
          <w:rFonts w:cs="Arial"/>
        </w:rPr>
      </w:r>
    </w:p>
    <w:tbl>
      <w:tblPr>
        <w:tblW w:w="8856" w:type="dxa"/>
        <w:jc w:val="start"/>
        <w:tblInd w:w="0" w:type="dxa"/>
        <w:tblLayout w:type="fixed"/>
        <w:tblCellMar>
          <w:top w:w="0" w:type="dxa"/>
          <w:start w:w="108" w:type="dxa"/>
          <w:bottom w:w="0" w:type="dxa"/>
          <w:end w:w="108" w:type="dxa"/>
        </w:tblCellMar>
      </w:tblPr>
      <w:tblGrid>
        <w:gridCol w:w="5058"/>
        <w:gridCol w:w="3798"/>
      </w:tblGrid>
      <w:tr>
        <w:trPr/>
        <w:tc>
          <w:tcPr>
            <w:tcW w:w="505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798" w:type="dxa"/>
            <w:tcBorders>
              <w:start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I.99-07-003</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OPENING BRIEF OF AERA ENERGY LLC</w:t>
      </w:r>
    </w:p>
    <w:p>
      <w:pPr>
        <w:pStyle w:val="Heading"/>
        <w:rPr>
          <w:rFonts w:cs="Arial"/>
        </w:rPr>
      </w:pPr>
      <w:r>
        <w:rPr>
          <w:rFonts w:cs="Arial"/>
        </w:rPr>
        <w:t>REGARDING THE COMPREHENSIVE GAS OII SETTLEMENT AGREEMENT</w:t>
      </w:r>
    </w:p>
    <w:p>
      <w:pPr>
        <w:pStyle w:val="Heading"/>
        <w:rPr>
          <w:rFonts w:cs="Arial"/>
        </w:rPr>
      </w:pPr>
      <w:r>
        <w:rPr>
          <w:rFonts w:cs="Arial"/>
        </w:rPr>
        <w:t>FOR SOUTHERN CALIFORNIA GAS COMPANY AND</w:t>
      </w:r>
    </w:p>
    <w:p>
      <w:pPr>
        <w:pStyle w:val="Heading"/>
        <w:rPr>
          <w:rFonts w:cs="Arial"/>
        </w:rPr>
      </w:pPr>
      <w:r>
        <w:rPr>
          <w:rFonts w:cs="Arial"/>
        </w:rPr>
        <w:t>SAN DIEGO GAS &amp; ELECTRIC COMPANY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rPr/>
      </w:pPr>
      <w:bookmarkStart w:id="0" w:name="__RefHeading___Toc487872859"/>
      <w:bookmarkEnd w:id="0"/>
      <w:r>
        <w:rPr/>
        <w:t xml:space="preserve">I.  </w:t>
        <w:tab/>
        <w:t>INTRODUCTION</w:t>
      </w:r>
    </w:p>
    <w:p>
      <w:pPr>
        <w:pStyle w:val="Normal"/>
        <w:rPr>
          <w:rFonts w:ascii="Arial" w:hAnsi="Arial" w:cs="Arial"/>
        </w:rPr>
      </w:pPr>
      <w:r>
        <w:rPr>
          <w:rFonts w:cs="Arial" w:ascii="Arial" w:hAnsi="Arial"/>
        </w:rPr>
      </w:r>
    </w:p>
    <w:p>
      <w:pPr>
        <w:pStyle w:val="Normal"/>
        <w:spacing w:lineRule="auto" w:line="480"/>
        <w:rPr/>
      </w:pPr>
      <w:r>
        <w:rPr>
          <w:rFonts w:cs="Arial" w:ascii="Arial" w:hAnsi="Arial"/>
        </w:rPr>
        <w:tab/>
        <w:t>Pursuant to Rule 75 of the Rules of Practice and Procedure of the California Public Utilities Commission (“CPUC” or “Commission”), Aera Energy LLC</w:t>
      </w:r>
      <w:r>
        <w:rPr>
          <w:rStyle w:val="FootnoteCharacters"/>
          <w:rStyle w:val="FootnoteReference"/>
          <w:rFonts w:cs="Arial" w:ascii="Arial" w:hAnsi="Arial"/>
        </w:rPr>
        <w:footnoteReference w:id="2"/>
      </w:r>
      <w:r>
        <w:rPr>
          <w:rFonts w:cs="Arial" w:ascii="Arial" w:hAnsi="Arial"/>
        </w:rPr>
        <w:t xml:space="preserve"> (“Aera”) submits this Opening Brief in the above-referenced proceeding.  </w:t>
      </w:r>
    </w:p>
    <w:p>
      <w:pPr>
        <w:pStyle w:val="Normal"/>
        <w:spacing w:lineRule="auto" w:line="480"/>
        <w:rPr>
          <w:rFonts w:ascii="Arial" w:hAnsi="Arial" w:cs="Arial"/>
        </w:rPr>
      </w:pPr>
      <w:r>
        <w:rPr>
          <w:rFonts w:cs="Arial" w:ascii="Arial" w:hAnsi="Arial"/>
        </w:rPr>
        <w:tab/>
        <w:t xml:space="preserve">Aera is not a signatory to any of the settlement agreements presented to the Commission in this Gas Industry Restructuring (“GIR”) investigation, nor does it expressly oppose the settlements presented in the GIR.  The purpose of Aera’s participation in this proceeding is very limited.  Aera seeks to:  (1) identify Aera’s interest in the treatment of its long-term contracts with SoCalGas under the Commission’s ultimate decision in this proceeding; (2) clarify Aera’s understanding of the pertinent provisions of the Comprehensive Settlement provisions; and (3) urge the Commission not to enlarge this policy investigation into a forum for exploring or litigating individual contract issues.  </w:t>
      </w:r>
    </w:p>
    <w:p>
      <w:pPr>
        <w:pStyle w:val="Heading1"/>
        <w:rPr>
          <w:rFonts w:ascii="Arial" w:hAnsi="Arial" w:cs="Arial"/>
        </w:rPr>
      </w:pPr>
      <w:r>
        <w:rPr>
          <w:rFonts w:cs="Arial"/>
        </w:rPr>
      </w:r>
    </w:p>
    <w:p>
      <w:pPr>
        <w:pStyle w:val="Heading1"/>
        <w:rPr/>
      </w:pPr>
      <w:bookmarkStart w:id="1" w:name="__RefHeading___Toc487872860"/>
      <w:bookmarkEnd w:id="1"/>
      <w:r>
        <w:rPr/>
        <w:t>II.</w:t>
        <w:tab/>
        <w:t>BACKGROUND</w:t>
      </w:r>
    </w:p>
    <w:p>
      <w:pPr>
        <w:pStyle w:val="Normal"/>
        <w:rPr>
          <w:rFonts w:ascii="Arial" w:hAnsi="Arial" w:cs="Arial"/>
        </w:rPr>
      </w:pPr>
      <w:r>
        <w:rPr>
          <w:rFonts w:cs="Arial" w:ascii="Arial" w:hAnsi="Arial"/>
        </w:rPr>
      </w:r>
    </w:p>
    <w:p>
      <w:pPr>
        <w:pStyle w:val="BodyTextIndent2"/>
        <w:rPr/>
      </w:pPr>
      <w:r>
        <w:rPr/>
        <w:t>Aera is the largest producer of oil and natural gas in California.  (Aera/Orndorff Tr., vol. 5, p. 544:8.)  Of Aera’s business interests in California, the most relevant to this proceeding is Aera’s enhanced oil recovery (EOR) operation in Kern County, which lies in the SoCalGas service territory.  (</w:t>
      </w:r>
      <w:r>
        <w:rPr>
          <w:i/>
          <w:iCs/>
        </w:rPr>
        <w:t>Id.</w:t>
      </w:r>
      <w:r>
        <w:rPr/>
        <w:t xml:space="preserve">, at p. 544:19-20.)  EOR operations burn natural gas to produce steam – either by fueling steam production directly or through cogeneration with the production of electricity – for injection into production fields to maximize recovery of oil deposits.  (Ex. 400, Prepared Rebuttal Testimony of Harold A. Orndorff, at p. 1:20-23.)  </w:t>
      </w:r>
    </w:p>
    <w:p>
      <w:pPr>
        <w:pStyle w:val="Normal"/>
        <w:spacing w:lineRule="auto" w:line="480"/>
        <w:ind w:firstLine="720" w:end="0"/>
        <w:rPr/>
      </w:pPr>
      <w:r>
        <w:rPr>
          <w:rFonts w:cs="Arial" w:ascii="Arial" w:hAnsi="Arial"/>
        </w:rPr>
        <w:t>SoCalGas provides natural gas transportation service to Aera’s EOR and cogeneration operations.  (</w:t>
      </w:r>
      <w:r>
        <w:rPr>
          <w:rFonts w:cs="Arial" w:ascii="Arial" w:hAnsi="Arial"/>
          <w:i/>
          <w:iCs/>
        </w:rPr>
        <w:t>Id.</w:t>
      </w:r>
      <w:r>
        <w:rPr>
          <w:rFonts w:cs="Arial" w:ascii="Arial" w:hAnsi="Arial"/>
        </w:rPr>
        <w:t>, at pp. 1:26-2:1.)  Service from SoCalGas is provided under three long-term contracts negotiated and executed in the late-1980s.  (</w:t>
      </w:r>
      <w:r>
        <w:rPr>
          <w:rFonts w:cs="Arial" w:ascii="Arial" w:hAnsi="Arial"/>
          <w:i/>
          <w:iCs/>
        </w:rPr>
        <w:t xml:space="preserve">Id., </w:t>
      </w:r>
      <w:r>
        <w:rPr>
          <w:rFonts w:cs="Arial" w:ascii="Arial" w:hAnsi="Arial"/>
        </w:rPr>
        <w:t xml:space="preserve">at p. 2:2-3; </w:t>
      </w:r>
      <w:r>
        <w:rPr>
          <w:rFonts w:cs="Arial" w:ascii="Arial" w:hAnsi="Arial"/>
          <w:i/>
          <w:iCs/>
        </w:rPr>
        <w:t>see also,</w:t>
      </w:r>
      <w:r>
        <w:rPr>
          <w:rFonts w:cs="Arial" w:ascii="Arial" w:hAnsi="Arial"/>
        </w:rPr>
        <w:t xml:space="preserve">  Aera/Orndorff Tr., vol. 5, p. 546:20-22.)  The first contract was originally executed by and between Shell Western E&amp;P, Inc. and SoCalGas on April 19, 1988.  (</w:t>
      </w:r>
      <w:r>
        <w:rPr>
          <w:rFonts w:cs="Arial" w:ascii="Arial" w:hAnsi="Arial"/>
          <w:i/>
          <w:iCs/>
        </w:rPr>
        <w:t>Id.</w:t>
      </w:r>
      <w:r>
        <w:rPr>
          <w:rFonts w:cs="Arial" w:ascii="Arial" w:hAnsi="Arial"/>
        </w:rPr>
        <w:t>, at p. 2:18-19.)  The second contract was originally executed by and between Tenneco Oil Company and SoCalGas on July 15, 1988.  (</w:t>
      </w:r>
      <w:r>
        <w:rPr>
          <w:rFonts w:cs="Arial" w:ascii="Arial" w:hAnsi="Arial"/>
          <w:i/>
          <w:iCs/>
        </w:rPr>
        <w:t>Id.</w:t>
      </w:r>
      <w:r>
        <w:rPr>
          <w:rFonts w:cs="Arial" w:ascii="Arial" w:hAnsi="Arial"/>
        </w:rPr>
        <w:t>, at p. 2:19-20.)  Aera has succeeded in interest to these two contracts in the context of other corporate transactions.  (</w:t>
      </w:r>
      <w:r>
        <w:rPr>
          <w:rFonts w:cs="Arial" w:ascii="Arial" w:hAnsi="Arial"/>
          <w:i/>
          <w:iCs/>
        </w:rPr>
        <w:t>Id.</w:t>
      </w:r>
      <w:r>
        <w:rPr>
          <w:rFonts w:cs="Arial" w:ascii="Arial" w:hAnsi="Arial"/>
        </w:rPr>
        <w:t>, at p. 2:20-21.)  The third contract was executed by and between Midway Sunset Cogeneration Company (“MSCC”) and SoCalGas on February 28, 1988.  (</w:t>
      </w:r>
      <w:r>
        <w:rPr>
          <w:rFonts w:cs="Arial" w:ascii="Arial" w:hAnsi="Arial"/>
          <w:i/>
          <w:iCs/>
        </w:rPr>
        <w:t>Id.</w:t>
      </w:r>
      <w:r>
        <w:rPr>
          <w:rFonts w:cs="Arial" w:ascii="Arial" w:hAnsi="Arial"/>
        </w:rPr>
        <w:t>, at p. 2:21-23.)  Aera is a 50% partner in MSCC with Edison Mission Energy Company.  (</w:t>
      </w:r>
      <w:r>
        <w:rPr>
          <w:rFonts w:cs="Arial" w:ascii="Arial" w:hAnsi="Arial"/>
          <w:i/>
          <w:iCs/>
        </w:rPr>
        <w:t>Id.</w:t>
      </w:r>
      <w:r>
        <w:rPr>
          <w:rFonts w:cs="Arial" w:ascii="Arial" w:hAnsi="Arial"/>
        </w:rPr>
        <w:t>, at p. 2:23.)  Each of these contracts designates a term of 20 years from the date of service commenced, with the first two contracts expiring in 2008, and the third contract expiring in 2009.  (</w:t>
      </w:r>
      <w:r>
        <w:rPr>
          <w:rFonts w:cs="Arial" w:ascii="Arial" w:hAnsi="Arial"/>
          <w:i/>
          <w:iCs/>
        </w:rPr>
        <w:t>Id.</w:t>
      </w:r>
      <w:r>
        <w:rPr>
          <w:rFonts w:cs="Arial" w:ascii="Arial" w:hAnsi="Arial"/>
        </w:rPr>
        <w:t xml:space="preserve">, at p. 2:23-25.)  </w:t>
      </w:r>
    </w:p>
    <w:p>
      <w:pPr>
        <w:pStyle w:val="Heading1"/>
        <w:rPr>
          <w:rFonts w:ascii="Arial" w:hAnsi="Arial" w:cs="Arial"/>
        </w:rPr>
      </w:pPr>
      <w:r>
        <w:rPr>
          <w:rFonts w:cs="Arial"/>
        </w:rPr>
      </w:r>
    </w:p>
    <w:p>
      <w:pPr>
        <w:pStyle w:val="Heading1"/>
        <w:rPr/>
      </w:pPr>
      <w:bookmarkStart w:id="2" w:name="__RefHeading___Toc487872861"/>
      <w:bookmarkEnd w:id="2"/>
      <w:r>
        <w:rPr/>
        <w:t>III.</w:t>
        <w:tab/>
        <w:t>DISCUSSION</w:t>
      </w:r>
    </w:p>
    <w:p>
      <w:pPr>
        <w:pStyle w:val="Normal"/>
        <w:rPr>
          <w:rFonts w:ascii="Arial" w:hAnsi="Arial" w:cs="Arial"/>
        </w:rPr>
      </w:pPr>
      <w:r>
        <w:rPr>
          <w:rFonts w:cs="Arial" w:ascii="Arial" w:hAnsi="Arial"/>
        </w:rPr>
      </w:r>
    </w:p>
    <w:p>
      <w:pPr>
        <w:pStyle w:val="BodyTextIndent2"/>
        <w:rPr/>
      </w:pPr>
      <w:r>
        <w:rPr/>
        <w:t xml:space="preserve">Only one of the settlements proposed in this proceeding, the “Comprehensive Settlement,” has a brief provision addressing the impact of the settlement on existing, long-term contracts.  (Ex. 1, Comprehensive Settlement §I.1.9.)  Aera presents this Opening Brief in order to (1) identify Aera’s interest in the treatment of these contracts under the restructured natural gas transportation industry in Southern California; (2) clarify Aera’s understanding of the Comprehensive Settlement provisions that affect Aera’s interests; and (3) urge the Commission not to turn this policy-based investigation into a forum for exploration or litigation of individual contract issues.  </w:t>
      </w:r>
    </w:p>
    <w:p>
      <w:pPr>
        <w:pStyle w:val="Heading1"/>
        <w:ind w:hanging="720" w:start="1440" w:end="0"/>
        <w:rPr/>
      </w:pPr>
      <w:bookmarkStart w:id="3" w:name="__RefHeading___Toc487872862"/>
      <w:r>
        <w:rPr/>
        <w:t>A.</w:t>
        <w:tab/>
        <w:t>Aera’s Interest in the Treatment of Existing EOR Contracts In the Restructured Gas Industry Can Be Traced to the Commission’s Policy Regarding EOR Contracts As Articulated in Decision 86-12-009.</w:t>
      </w:r>
      <w:bookmarkEnd w:id="3"/>
      <w:r>
        <w:rPr/>
        <w:t xml:space="preserve">  </w:t>
      </w:r>
    </w:p>
    <w:p>
      <w:pPr>
        <w:pStyle w:val="BodyTextIndent2"/>
        <w:spacing w:lineRule="auto" w:line="240"/>
        <w:rPr/>
      </w:pPr>
      <w:r>
        <w:rPr/>
      </w:r>
    </w:p>
    <w:p>
      <w:pPr>
        <w:pStyle w:val="Normal"/>
        <w:spacing w:lineRule="auto" w:line="480"/>
        <w:rPr/>
      </w:pPr>
      <w:r>
        <w:rPr>
          <w:rFonts w:cs="Arial" w:ascii="Arial" w:hAnsi="Arial"/>
        </w:rPr>
        <w:tab/>
        <w:t xml:space="preserve">Aera is concerned </w:t>
      </w:r>
      <w:r>
        <w:rPr>
          <w:rFonts w:cs="Arial" w:ascii="Arial" w:hAnsi="Arial"/>
          <w:i/>
          <w:iCs/>
        </w:rPr>
        <w:t xml:space="preserve">with “[preserving] what value that we perceived in the contracts </w:t>
      </w:r>
      <w:r>
        <w:rPr>
          <w:rFonts w:cs="Arial" w:ascii="Arial" w:hAnsi="Arial"/>
          <w:i/>
          <w:iCs/>
          <w:u w:val="single"/>
        </w:rPr>
        <w:t>originally</w:t>
      </w:r>
      <w:r>
        <w:rPr>
          <w:rFonts w:cs="Arial" w:ascii="Arial" w:hAnsi="Arial"/>
          <w:i/>
          <w:iCs/>
        </w:rPr>
        <w:t xml:space="preserve"> and to operate under similar conditions.”</w:t>
      </w:r>
      <w:r>
        <w:rPr>
          <w:rFonts w:cs="Arial" w:ascii="Arial" w:hAnsi="Arial"/>
        </w:rPr>
        <w:t xml:space="preserve">  (Aera/Orndorff Tr., vol. 5, p. 548.) (Emphasis added.)  The Commission authorized SoCalGas to enter into negotiated, long-term contracts in the mid- to late-1980s.  (Decision (D.) 86-12-009, “Re. Rate Design for Unbundled Gas Utility Services.”)  Some of those contracts include those with Aera or to which Aera succeeded in interest that were discussed above.  As the decision explains, SoCalGas at the time was facing competition from two potential interstate pipeline projects – Kern River Gas Transmission Company and Mojave Pipeline Company – to serve the expanding Kern County EOR market.  (</w:t>
      </w:r>
      <w:r>
        <w:rPr>
          <w:rFonts w:cs="Arial" w:ascii="Arial" w:hAnsi="Arial"/>
          <w:i/>
          <w:iCs/>
        </w:rPr>
        <w:t>Id.,</w:t>
      </w:r>
      <w:r>
        <w:rPr>
          <w:rFonts w:cs="Arial" w:ascii="Arial" w:hAnsi="Arial"/>
        </w:rPr>
        <w:t xml:space="preserve"> at pp. 480-82.)  The Commission and SoCalGas were concerned that this new market would bypass the SoCalGas and PG&amp;E systems and seek gas transmission service directly from the interstate pipelines.  (</w:t>
      </w:r>
      <w:r>
        <w:rPr>
          <w:rFonts w:cs="Arial" w:ascii="Arial" w:hAnsi="Arial"/>
          <w:i/>
          <w:iCs/>
        </w:rPr>
        <w:t>Id.</w:t>
      </w:r>
      <w:r>
        <w:rPr>
          <w:rFonts w:cs="Arial" w:ascii="Arial" w:hAnsi="Arial"/>
        </w:rPr>
        <w:t>)  The Commission concluded that the economically efficient solution would be to serve the EOR market from existing PG&amp;E and SoCalGas facilities, even if it meant discounting service to EOR customers from tariffed rates.  (</w:t>
      </w:r>
      <w:r>
        <w:rPr>
          <w:rFonts w:cs="Arial" w:ascii="Arial" w:hAnsi="Arial"/>
          <w:i/>
          <w:iCs/>
        </w:rPr>
        <w:t>Id.</w:t>
      </w:r>
      <w:r>
        <w:rPr>
          <w:rFonts w:cs="Arial" w:ascii="Arial" w:hAnsi="Arial"/>
        </w:rPr>
        <w:t>)  In short, the utility would retain and expand load over which to spread its fixed costs, and ratepayers would benefit from EOR customers’ contribution to fixed costs.  (</w:t>
      </w:r>
      <w:r>
        <w:rPr>
          <w:rFonts w:cs="Arial" w:ascii="Arial" w:hAnsi="Arial"/>
          <w:i/>
          <w:iCs/>
        </w:rPr>
        <w:t>Id.</w:t>
      </w:r>
      <w:r>
        <w:rPr>
          <w:rFonts w:cs="Arial" w:ascii="Arial" w:hAnsi="Arial"/>
        </w:rPr>
        <w:t xml:space="preserve">, at p. 481.)  </w:t>
      </w:r>
    </w:p>
    <w:p>
      <w:pPr>
        <w:pStyle w:val="Normal"/>
        <w:spacing w:lineRule="auto" w:line="480"/>
        <w:ind w:firstLine="720" w:end="0"/>
        <w:rPr/>
      </w:pPr>
      <w:r>
        <w:rPr>
          <w:rFonts w:cs="Arial" w:ascii="Arial" w:hAnsi="Arial"/>
        </w:rPr>
        <w:t>The Commission thus granted SoCalGas the authority to negotiate non-tariff rates, terms and conditions with EOR customers.  (</w:t>
      </w:r>
      <w:r>
        <w:rPr>
          <w:rFonts w:cs="Arial" w:ascii="Arial" w:hAnsi="Arial"/>
          <w:i/>
          <w:iCs/>
        </w:rPr>
        <w:t>Id.</w:t>
      </w:r>
      <w:r>
        <w:rPr>
          <w:rFonts w:cs="Arial" w:ascii="Arial" w:hAnsi="Arial"/>
        </w:rPr>
        <w:t>, at p. 483.)  Recognizing the importance of certainty in the contract terms, the Commission concomitantly waived its otherwise applicable right under Section IX of General Order 96-A to prospectively modify the contracts during the terms of the EOR agreements.  (</w:t>
      </w:r>
      <w:r>
        <w:rPr>
          <w:rFonts w:cs="Arial" w:ascii="Arial" w:hAnsi="Arial"/>
          <w:i/>
          <w:iCs/>
        </w:rPr>
        <w:t>Id.</w:t>
      </w:r>
      <w:r>
        <w:rPr>
          <w:rFonts w:cs="Arial" w:ascii="Arial" w:hAnsi="Arial"/>
        </w:rPr>
        <w:t xml:space="preserve">, at p. 483-84; </w:t>
      </w:r>
      <w:r>
        <w:rPr>
          <w:rFonts w:cs="Arial" w:ascii="Arial" w:hAnsi="Arial"/>
          <w:i/>
          <w:iCs/>
        </w:rPr>
        <w:t>see also</w:t>
      </w:r>
      <w:r>
        <w:rPr>
          <w:rFonts w:cs="Arial" w:ascii="Arial" w:hAnsi="Arial"/>
        </w:rPr>
        <w:t>, General Order 96-A, Section IX.)  As a result of the Commission’s waiver of Section IX of G.O. 96-A in approving the contracts, the contracts are subject to modification only by the mutual consent of the contract parties.  (Prepared Rebuttal Testimony of Harold A. Orndorff, at p. 3:23-25.)  The Commission pursuant to D.86-12-009 expressly approved each of Aera’s EOR contracts with SoCalGas.  (</w:t>
      </w:r>
      <w:r>
        <w:rPr>
          <w:rFonts w:cs="Arial" w:ascii="Arial" w:hAnsi="Arial"/>
          <w:i/>
          <w:iCs/>
        </w:rPr>
        <w:t>Id.</w:t>
      </w:r>
      <w:r>
        <w:rPr>
          <w:rFonts w:cs="Arial" w:ascii="Arial" w:hAnsi="Arial"/>
        </w:rPr>
        <w:t xml:space="preserve">, at p. 3:18-20.)  </w:t>
      </w:r>
      <w:r>
        <w:br w:type="page"/>
      </w:r>
    </w:p>
    <w:p>
      <w:pPr>
        <w:pStyle w:val="Normal"/>
        <w:spacing w:lineRule="auto" w:line="480"/>
        <w:ind w:end="0"/>
        <w:rPr>
          <w:rFonts w:ascii="Arial" w:hAnsi="Arial" w:eastAsia="Arial" w:cs="Arial"/>
        </w:rPr>
      </w:pPr>
      <w:r>
        <w:rPr>
          <w:rFonts w:eastAsia="Arial" w:cs="Arial" w:ascii="Arial" w:hAnsi="Arial"/>
        </w:rPr>
        <w:t xml:space="preserve">  </w:t>
      </w:r>
    </w:p>
    <w:p>
      <w:pPr>
        <w:pStyle w:val="Heading1"/>
        <w:ind w:hanging="720" w:start="1440" w:end="0"/>
        <w:rPr>
          <w:b w:val="false"/>
          <w:bCs w:val="false"/>
        </w:rPr>
      </w:pPr>
      <w:bookmarkStart w:id="4" w:name="__RefHeading___Toc487872863"/>
      <w:r>
        <w:rPr/>
        <w:t>B.</w:t>
        <w:tab/>
        <w:t>The Comprehensive Settlement May Affect the Interpretation or Operation of Existing Contracts But It Does Not Foreclose the Contracting Parties From Honoring the Express Provisions of Contracts.</w:t>
      </w:r>
      <w:bookmarkEnd w:id="4"/>
      <w:r>
        <w:rPr/>
        <w:t xml:space="preserve">  </w:t>
      </w:r>
    </w:p>
    <w:p>
      <w:pPr>
        <w:pStyle w:val="Normal"/>
        <w:rPr>
          <w:rFonts w:ascii="Arial" w:hAnsi="Arial" w:cs="Arial"/>
          <w:b/>
          <w:bCs/>
        </w:rPr>
      </w:pPr>
      <w:r>
        <w:rPr>
          <w:rFonts w:cs="Arial" w:ascii="Arial" w:hAnsi="Arial"/>
          <w:b/>
          <w:bCs/>
        </w:rPr>
      </w:r>
    </w:p>
    <w:p>
      <w:pPr>
        <w:pStyle w:val="Normal"/>
        <w:spacing w:lineRule="auto" w:line="480"/>
        <w:rPr/>
      </w:pPr>
      <w:r>
        <w:rPr>
          <w:rFonts w:cs="Arial" w:ascii="Arial" w:hAnsi="Arial"/>
        </w:rPr>
        <w:tab/>
        <w:t xml:space="preserve">The Comprehensive Settlement is the only settlement that addresses existing contracts.  It states that it does not </w:t>
      </w:r>
      <w:r>
        <w:rPr>
          <w:rFonts w:cs="Arial" w:ascii="Arial" w:hAnsi="Arial"/>
          <w:i/>
          <w:iCs/>
        </w:rPr>
        <w:t>“by its own terms alter, modify, terminate or abrogate any contract for utility service by SoCalGas or SDG&amp;E entered into as of April 17, 2000, and that has been approved by the Commission.”</w:t>
      </w:r>
      <w:r>
        <w:rPr>
          <w:rFonts w:cs="Arial" w:ascii="Arial" w:hAnsi="Arial"/>
        </w:rPr>
        <w:t xml:space="preserve">  (Comprehensive Settlement §I.1.9.)  It states further, </w:t>
      </w:r>
    </w:p>
    <w:p>
      <w:pPr>
        <w:pStyle w:val="Normal"/>
        <w:ind w:start="720" w:end="720"/>
        <w:jc w:val="both"/>
        <w:rPr/>
      </w:pPr>
      <w:r>
        <w:rPr>
          <w:rFonts w:cs="Arial" w:ascii="Arial" w:hAnsi="Arial"/>
          <w:i/>
          <w:iCs/>
        </w:rPr>
        <w:t xml:space="preserve">This Settlement Agreement </w:t>
      </w:r>
      <w:r>
        <w:rPr>
          <w:rFonts w:cs="Arial" w:ascii="Arial" w:hAnsi="Arial"/>
          <w:i/>
          <w:iCs/>
          <w:u w:val="single"/>
        </w:rPr>
        <w:t>does not alter the rights of parties to such contracts without the written consent of the parties to such contracts</w:t>
      </w:r>
      <w:r>
        <w:rPr>
          <w:rFonts w:cs="Arial" w:ascii="Arial" w:hAnsi="Arial"/>
          <w:i/>
          <w:iCs/>
        </w:rPr>
        <w:t xml:space="preserve">.  SoCalGas and SDG&amp;E shall not use this Settlement Agreement as a basis for altering, modifying, terminating or abrogating any such contract </w:t>
      </w:r>
      <w:r>
        <w:rPr>
          <w:rFonts w:cs="Arial" w:ascii="Arial" w:hAnsi="Arial"/>
          <w:i/>
          <w:iCs/>
          <w:u w:val="single"/>
        </w:rPr>
        <w:t>without the consent of the other party to the contract</w:t>
      </w:r>
      <w:r>
        <w:rPr>
          <w:rFonts w:cs="Arial" w:ascii="Arial" w:hAnsi="Arial"/>
          <w:i/>
          <w:iCs/>
        </w:rPr>
        <w:t xml:space="preserve">.” </w:t>
      </w:r>
      <w:r>
        <w:rPr>
          <w:rFonts w:cs="Arial" w:ascii="Arial" w:hAnsi="Arial"/>
        </w:rPr>
        <w:t xml:space="preserve"> </w:t>
      </w:r>
    </w:p>
    <w:p>
      <w:pPr>
        <w:pStyle w:val="Pleading"/>
        <w:numPr>
          <w:ilvl w:val="0"/>
          <w:numId w:val="0"/>
        </w:numPr>
        <w:ind w:hanging="0" w:start="0"/>
        <w:rPr>
          <w:rFonts w:ascii="Arial" w:hAnsi="Arial" w:cs="Arial"/>
        </w:rPr>
      </w:pPr>
      <w:r>
        <w:rPr>
          <w:rFonts w:cs="Arial"/>
        </w:rPr>
      </w:r>
    </w:p>
    <w:p>
      <w:pPr>
        <w:pStyle w:val="Normal"/>
        <w:spacing w:lineRule="auto" w:line="480"/>
        <w:rPr/>
      </w:pPr>
      <w:r>
        <w:rPr>
          <w:rFonts w:cs="Arial" w:ascii="Arial" w:hAnsi="Arial"/>
        </w:rPr>
        <w:t>(</w:t>
      </w:r>
      <w:r>
        <w:rPr>
          <w:rFonts w:cs="Arial" w:ascii="Arial" w:hAnsi="Arial"/>
          <w:i/>
          <w:iCs/>
        </w:rPr>
        <w:t>Id.</w:t>
      </w:r>
      <w:r>
        <w:rPr>
          <w:rFonts w:cs="Arial" w:ascii="Arial" w:hAnsi="Arial"/>
        </w:rPr>
        <w:t xml:space="preserve">) (Emphasis added.)  These provisions of the Comprehensive Settlement are not inconsistent with Aera’s understanding of the treatment of its EOR contracts under the Comprehensive Settlement.  Nor are these provisions inconsistent with the Commission’s waiver of Section IX of G.O. 96-A when it approved Aera’s contracts.  </w:t>
      </w:r>
    </w:p>
    <w:p>
      <w:pPr>
        <w:pStyle w:val="Normal"/>
        <w:spacing w:lineRule="auto" w:line="480"/>
        <w:ind w:firstLine="720" w:end="0"/>
        <w:rPr/>
      </w:pPr>
      <w:r>
        <w:rPr>
          <w:rFonts w:cs="Arial" w:ascii="Arial" w:hAnsi="Arial"/>
        </w:rPr>
        <w:t>Under Aera’s reading of the relevant provisions, the Comprehensive Settlement does not propose any specific treatment of any particular contract.  (</w:t>
      </w:r>
      <w:r>
        <w:rPr>
          <w:rFonts w:cs="Arial" w:ascii="Arial" w:hAnsi="Arial"/>
          <w:i/>
          <w:iCs/>
        </w:rPr>
        <w:t>See,</w:t>
      </w:r>
      <w:r>
        <w:rPr>
          <w:rFonts w:cs="Arial" w:ascii="Arial" w:hAnsi="Arial"/>
        </w:rPr>
        <w:t xml:space="preserve"> Comprehensive Settlement §I.1.9.)  It is important, however, to stress one clarification.  The Comprehensive Settlement does not propose expressly to </w:t>
      </w:r>
      <w:r>
        <w:rPr>
          <w:rFonts w:cs="Arial" w:ascii="Arial" w:hAnsi="Arial"/>
          <w:i/>
          <w:iCs/>
        </w:rPr>
        <w:t>“alter, modify, terminate or abrogate”</w:t>
      </w:r>
      <w:r>
        <w:rPr>
          <w:rFonts w:cs="Arial" w:ascii="Arial" w:hAnsi="Arial"/>
        </w:rPr>
        <w:t xml:space="preserve"> any specific contract entered into by SoCalGas or SDG&amp;E.  (</w:t>
      </w:r>
      <w:r>
        <w:rPr>
          <w:rFonts w:cs="Arial" w:ascii="Arial" w:hAnsi="Arial"/>
          <w:i/>
          <w:iCs/>
        </w:rPr>
        <w:t>Id</w:t>
      </w:r>
      <w:r>
        <w:rPr>
          <w:rFonts w:cs="Arial" w:ascii="Arial" w:hAnsi="Arial"/>
        </w:rPr>
        <w:t>.)  The relevant provisions, however, should not be interpreted to mean that the adoption and implementation of the Comprehensive Settlement will have no effect on the interpretation or operation of the existing contracts.   (Prepared Rebuttal Testimony of Harold A. Orndorff, at p. 4:21-23.)  Adoption of the Comprehensive Settlement may well require modification of contracts or other accommodations in order to give full effect to existing contract terms and conditions.  (</w:t>
      </w:r>
      <w:r>
        <w:rPr>
          <w:rFonts w:cs="Arial" w:ascii="Arial" w:hAnsi="Arial"/>
          <w:i/>
          <w:iCs/>
        </w:rPr>
        <w:t>Id.</w:t>
      </w:r>
      <w:r>
        <w:rPr>
          <w:rFonts w:cs="Arial" w:ascii="Arial" w:hAnsi="Arial"/>
        </w:rPr>
        <w:t>, at p. 5:5-6.)  Additionally, while SoCalGas and SDG&amp;E – as settlement signatories – have stated that they will not seek to alter, modify, terminate or abrogate any contract based on the impact of the settlement on those contracts, parties who are not signatories to the settlement have not similarly waived this right.  (</w:t>
      </w:r>
      <w:r>
        <w:rPr>
          <w:rFonts w:cs="Arial" w:ascii="Arial" w:hAnsi="Arial"/>
          <w:i/>
          <w:iCs/>
        </w:rPr>
        <w:t>Id.</w:t>
      </w:r>
      <w:r>
        <w:rPr>
          <w:rFonts w:cs="Arial" w:ascii="Arial" w:hAnsi="Arial"/>
        </w:rPr>
        <w:t>, at p. 4:23-27.)</w:t>
      </w:r>
    </w:p>
    <w:p>
      <w:pPr>
        <w:pStyle w:val="Normal"/>
        <w:spacing w:lineRule="auto" w:line="480"/>
        <w:rPr>
          <w:rFonts w:ascii="Arial" w:hAnsi="Arial" w:cs="Arial"/>
          <w:b/>
          <w:bCs/>
        </w:rPr>
      </w:pPr>
      <w:r>
        <w:rPr>
          <w:rFonts w:cs="Arial" w:ascii="Arial" w:hAnsi="Arial"/>
        </w:rPr>
        <w:tab/>
        <w:t>Adoption of the Comprehensive Settlement, as noted above, may affect the interpretation or operation of existing contracts.  Therefore, when the Commission establishes its final rules for the natural gas industry in California, the parties to existing, long-term negotiated contracts should pursue further negotiations and whatever remedies are prescribed in their contracts to address effects.</w:t>
      </w:r>
    </w:p>
    <w:p>
      <w:pPr>
        <w:pStyle w:val="Heading1"/>
        <w:ind w:hanging="720" w:start="1440" w:end="0"/>
        <w:rPr/>
      </w:pPr>
      <w:bookmarkStart w:id="5" w:name="__RefHeading___Toc487872864"/>
      <w:r>
        <w:rPr/>
        <w:t>C.</w:t>
        <w:tab/>
        <w:t>The Commission Should Not Explore or Litigate the Treatment of Individual Contracts in this Broad Policy Investigation.</w:t>
      </w:r>
      <w:bookmarkEnd w:id="5"/>
      <w:r>
        <w:rPr/>
        <w:t xml:space="preserve"> </w:t>
      </w:r>
    </w:p>
    <w:p>
      <w:pPr>
        <w:pStyle w:val="Normal"/>
        <w:rPr>
          <w:rFonts w:ascii="Arial" w:hAnsi="Arial" w:cs="Arial"/>
          <w:b/>
          <w:bCs/>
        </w:rPr>
      </w:pPr>
      <w:r>
        <w:rPr>
          <w:rFonts w:cs="Arial" w:ascii="Arial" w:hAnsi="Arial"/>
          <w:b/>
          <w:bCs/>
        </w:rPr>
      </w:r>
    </w:p>
    <w:p>
      <w:pPr>
        <w:pStyle w:val="Normal"/>
        <w:spacing w:lineRule="auto" w:line="480"/>
        <w:ind w:firstLine="720" w:end="0"/>
        <w:rPr/>
      </w:pPr>
      <w:r>
        <w:rPr>
          <w:rFonts w:cs="Arial" w:ascii="Arial" w:hAnsi="Arial"/>
        </w:rPr>
        <w:t>Any consideration of the potential effects that the Comprehensive Settlement would have on the operation of Aera’s EOR contracts is purely speculative at this time, the Commission should not explore or litigate the treatment of each of SoCalGas’ existing long-term contracts in this quasi-legislative proceeding.  (</w:t>
      </w:r>
      <w:r>
        <w:rPr>
          <w:rFonts w:cs="Arial" w:ascii="Arial" w:hAnsi="Arial"/>
          <w:i/>
          <w:iCs/>
        </w:rPr>
        <w:t>Id.</w:t>
      </w:r>
      <w:r>
        <w:rPr>
          <w:rFonts w:cs="Arial" w:ascii="Arial" w:hAnsi="Arial"/>
        </w:rPr>
        <w:t>, at p. 6:16-18.)  The effect that the Comprehensive Settlement or even the Interim Settlement might have on Aera’s long-term contracts with SoCalGas must be considered by each of the parties to the contracts.  If the Comprehensive Settlement is approved, whether Aera will have to bid in the Open Season for receipt point capacity for which it presently is served, or whether Aera will have to negotiate any modifications to service under its EOR contracts, is “something that we [Aera] need to analyze once the final policy decision is made and sit down and talk with our other party, SoCal, in deciding how these things would operate under a new environment.”  (Aera/Orndorff Tr., vol. 5, p. 545:21-24.)  Therefore, the effect on existing long-term contracts, if any, will only become apparent when the Commission issues its final decision in this proceeding and SoCalGas implements changes to its natural gas transportation business.  (</w:t>
      </w:r>
      <w:r>
        <w:rPr>
          <w:rFonts w:cs="Arial" w:ascii="Arial" w:hAnsi="Arial"/>
          <w:i/>
          <w:iCs/>
        </w:rPr>
        <w:t>Id.</w:t>
      </w:r>
      <w:r>
        <w:rPr>
          <w:rFonts w:cs="Arial" w:ascii="Arial" w:hAnsi="Arial"/>
        </w:rPr>
        <w:t>, at p. 548:13-17.)</w:t>
      </w:r>
    </w:p>
    <w:p>
      <w:pPr>
        <w:pStyle w:val="Normal"/>
        <w:spacing w:lineRule="auto" w:line="480"/>
        <w:rPr/>
      </w:pPr>
      <w:r>
        <w:rPr>
          <w:rFonts w:cs="Arial" w:ascii="Arial" w:hAnsi="Arial"/>
        </w:rPr>
        <w:tab/>
        <w:t>Testifying for Southwest Gas, Mr. Larry Black raises similar points of concern regarding SoCalGas’ treatment under the Comprehensive Settlement of its long-term intrastate wholesale gas transportation contracts.  (Southwest Gas/Black Tr., vol. 5, p. 571.)  Mr. Black is correct in observing that the Comprehensive Settlement does little to address existing contracts, and that the settlement may affect the operation of these contracts</w:t>
      </w:r>
      <w:r>
        <w:rPr>
          <w:rFonts w:cs="Arial" w:ascii="Arial" w:hAnsi="Arial"/>
          <w:i/>
          <w:iCs/>
        </w:rPr>
        <w:t>.  “There are described in the comprehensive settlement a number of events that can be taken, options that are available to acquire that backbone transmission, but those are not activities that would take place under the existing transportation agreements.”</w:t>
      </w:r>
      <w:r>
        <w:rPr>
          <w:rFonts w:cs="Arial" w:ascii="Arial" w:hAnsi="Arial"/>
        </w:rPr>
        <w:t xml:space="preserve">   (</w:t>
      </w:r>
      <w:r>
        <w:rPr>
          <w:rFonts w:cs="Arial" w:ascii="Arial" w:hAnsi="Arial"/>
          <w:i/>
          <w:iCs/>
        </w:rPr>
        <w:t>Id.</w:t>
      </w:r>
      <w:r>
        <w:rPr>
          <w:rFonts w:cs="Arial" w:ascii="Arial" w:hAnsi="Arial"/>
        </w:rPr>
        <w:t>, at p. 571:13-17.)</w:t>
      </w:r>
    </w:p>
    <w:p>
      <w:pPr>
        <w:pStyle w:val="Normal"/>
        <w:spacing w:lineRule="auto" w:line="480"/>
        <w:ind w:firstLine="720" w:end="0"/>
        <w:rPr/>
      </w:pPr>
      <w:r>
        <w:rPr>
          <w:rFonts w:cs="Arial" w:ascii="Arial" w:hAnsi="Arial"/>
        </w:rPr>
        <w:t>On balance, Aera agrees with Mr. Black’s observation that the Comprehensive Settlement may affect the operation of existing long-term contracts.  (</w:t>
      </w:r>
      <w:r>
        <w:rPr>
          <w:rFonts w:cs="Arial" w:ascii="Arial" w:hAnsi="Arial"/>
          <w:i/>
          <w:iCs/>
        </w:rPr>
        <w:t xml:space="preserve">Id., </w:t>
      </w:r>
      <w:r>
        <w:rPr>
          <w:rFonts w:cs="Arial" w:ascii="Arial" w:hAnsi="Arial"/>
        </w:rPr>
        <w:t xml:space="preserve">at p. 571; </w:t>
      </w:r>
      <w:r>
        <w:rPr>
          <w:rFonts w:cs="Arial" w:ascii="Arial" w:hAnsi="Arial"/>
          <w:i/>
          <w:iCs/>
        </w:rPr>
        <w:t xml:space="preserve">also, </w:t>
      </w:r>
      <w:r>
        <w:rPr>
          <w:rFonts w:cs="Arial" w:ascii="Arial" w:hAnsi="Arial"/>
        </w:rPr>
        <w:t>Ex.800,</w:t>
      </w:r>
      <w:r>
        <w:rPr>
          <w:rFonts w:cs="Arial" w:ascii="Arial" w:hAnsi="Arial"/>
          <w:i/>
          <w:iCs/>
        </w:rPr>
        <w:t xml:space="preserve"> </w:t>
      </w:r>
      <w:r>
        <w:rPr>
          <w:rFonts w:cs="Arial" w:ascii="Arial" w:hAnsi="Arial"/>
        </w:rPr>
        <w:t xml:space="preserve">Prepared Direct of Larry L. Black, at p. 8:10-15.)  Aera disagrees, however, with Southwest’s proposed resolution in this proceeding.  Mr. Black states that the </w:t>
      </w:r>
      <w:r>
        <w:rPr>
          <w:rFonts w:cs="Arial" w:ascii="Arial" w:hAnsi="Arial"/>
          <w:i/>
          <w:iCs/>
        </w:rPr>
        <w:t>“CPUC can best assist all [contract] customers by expressly acknowledging and including in an ordering paragraph in its decision approving the Comprehensive Settlement, or any other restructuring rules, that SoCalGas and affected parties shall reform any such contracts to be consistent with the changes of services and rates contemplated by the adopted rules.  Such changes should be made without the need for further CPUC action.”</w:t>
      </w:r>
      <w:r>
        <w:rPr>
          <w:rFonts w:cs="Arial" w:ascii="Arial" w:hAnsi="Arial"/>
        </w:rPr>
        <w:t xml:space="preserve">  (Ex. 800, Prepared Direct Testimony of Larry L. Black, at p. 9:9-17.)  Aera does not support such conclusive Commission action in this investigative proceeding.  </w:t>
      </w:r>
    </w:p>
    <w:p>
      <w:pPr>
        <w:pStyle w:val="Normal"/>
        <w:spacing w:lineRule="auto" w:line="480"/>
        <w:rPr/>
      </w:pPr>
      <w:r>
        <w:rPr>
          <w:rFonts w:cs="Arial" w:ascii="Arial" w:hAnsi="Arial"/>
        </w:rPr>
        <w:tab/>
        <w:t>Aera’s disagreement with Southwest Gas’ proposed action rests on three grounds.  First, the three contracts in which Aera holds an interest – and likely other such contracts – have specific provisions for addressing such changes between the parties.  (Prepared Rebuttal of Harold A. Orndorff, at p. 6:2-4.)  Consistent with the relevant provisions of the Comprehensive Settlement, any modifications to existing contracts should be dealt with under the terms of that agreement through private, two-party negotiations and not as part of this regulatory proceeding.  (</w:t>
      </w:r>
      <w:r>
        <w:rPr>
          <w:rFonts w:cs="Arial" w:ascii="Arial" w:hAnsi="Arial"/>
          <w:i/>
          <w:iCs/>
        </w:rPr>
        <w:t xml:space="preserve">See, </w:t>
      </w:r>
      <w:r>
        <w:rPr>
          <w:rFonts w:cs="Arial" w:ascii="Arial" w:hAnsi="Arial"/>
        </w:rPr>
        <w:t xml:space="preserve">Comprehensive Settlement §I.1.9.)  Only if the specific provisions of the contracts fail should the Commission or a court of competent jurisdiction enter the picture.  (Prepared Rebuttal Testimony of Harold A. Orndorff, at p. 6:4-5.)  </w:t>
      </w:r>
    </w:p>
    <w:p>
      <w:pPr>
        <w:pStyle w:val="Normal"/>
        <w:spacing w:lineRule="auto" w:line="480"/>
        <w:ind w:firstLine="720" w:end="0"/>
        <w:rPr/>
      </w:pPr>
      <w:r>
        <w:rPr>
          <w:rFonts w:cs="Arial" w:ascii="Arial" w:hAnsi="Arial"/>
        </w:rPr>
        <w:t>Second, the proceeding at hand is a policy proceeding and an investigation in which the Commission will establish a broad regulatory framework.  (</w:t>
      </w:r>
      <w:r>
        <w:rPr>
          <w:rFonts w:cs="Arial" w:ascii="Arial" w:hAnsi="Arial"/>
          <w:i/>
          <w:iCs/>
        </w:rPr>
        <w:t>See,</w:t>
      </w:r>
      <w:r>
        <w:rPr>
          <w:rFonts w:cs="Arial" w:ascii="Arial" w:hAnsi="Arial"/>
        </w:rPr>
        <w:t xml:space="preserve"> Order Instituting Investigation, Investigation 99-07-003 (July 8, 1999).)  It is not well suited or focused on resolving numerous contract-specific issues.  Existing contracts, even among the three contracts in which Aera holds an interest, differ in their terms and conditions.  (Prepared Rebuttal Testimony of Harold A. Orndorff, at p. 6:8-10.)  To determine how each affected contract should be handled in the course of the changes effected by the Commission’s ultimate decision would require both (a) identifying all existing contracts and (b) analyzing in laborious detail the terms and conditions of each contract as they pertain to both the structural changes proposed and contract modifications.  (</w:t>
      </w:r>
      <w:r>
        <w:rPr>
          <w:rFonts w:cs="Arial" w:ascii="Arial" w:hAnsi="Arial"/>
          <w:i/>
          <w:iCs/>
        </w:rPr>
        <w:t>Id.</w:t>
      </w:r>
      <w:r>
        <w:rPr>
          <w:rFonts w:cs="Arial" w:ascii="Arial" w:hAnsi="Arial"/>
        </w:rPr>
        <w:t>, at p. 6:14.)  Notably, not even Southwest has provided sufficient contract detail to draw specific conclusions regarding the interface of its contract and the Comprehensive Settlement.  (</w:t>
      </w:r>
      <w:r>
        <w:rPr>
          <w:rFonts w:cs="Arial" w:ascii="Arial" w:hAnsi="Arial"/>
          <w:i/>
          <w:iCs/>
        </w:rPr>
        <w:t>See</w:t>
      </w:r>
      <w:r>
        <w:rPr>
          <w:rFonts w:cs="Arial" w:ascii="Arial" w:hAnsi="Arial"/>
        </w:rPr>
        <w:t xml:space="preserve">, Ex. 800, Prepared Direct Testimony of Larry L. Black.)  Again, if Southwest or any other party to a long-term agreement with SoCalGas has a dispute over the operation of the agreement terms under the restructured gas industry, parties may resolve such disputes through mutual negotiation and can be addressed through the dispute resolution terms of the agreement; contract disputes should not be addressed through this regulatory proceeding.  </w:t>
      </w:r>
    </w:p>
    <w:p>
      <w:pPr>
        <w:pStyle w:val="Normal"/>
        <w:spacing w:lineRule="auto" w:line="480"/>
        <w:ind w:firstLine="720" w:end="0"/>
        <w:rPr>
          <w:rFonts w:ascii="Arial" w:hAnsi="Arial" w:cs="Arial"/>
        </w:rPr>
      </w:pPr>
      <w:r>
        <w:rPr>
          <w:rFonts w:cs="Arial" w:ascii="Arial" w:hAnsi="Arial"/>
        </w:rPr>
        <w:t xml:space="preserve">And third, it is arguably premature for the Commission to assess contract impacts, since it has not yet set a clear course for structural modifications on the SoCalGas system.  In his oral testimony, Mr. Black posits the possibility that customers with existing long-term transmission agreements on the SoCalGas system would pay higher prices under the Comprehensive Settlement scheme than prices set forth in the contracts.  </w:t>
      </w:r>
    </w:p>
    <w:p>
      <w:pPr>
        <w:pStyle w:val="BlockText"/>
        <w:rPr/>
      </w:pPr>
      <w:r>
        <w:rPr/>
        <w:t xml:space="preserve">I believe that there’s a very real possibility that the cost to get equivalent service under the Comprehensive Settlement, if it could be deemed exactly equivalent that I have now, will – in all likelihood have some increased costs for me that’s over and above the amount of the credit [against rates under existing firm intrastate long-term contracts which reflect the acquisition of backbone capacity by means other than through those contracts].  </w:t>
      </w:r>
    </w:p>
    <w:p>
      <w:pPr>
        <w:pStyle w:val="Normal"/>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 xml:space="preserve">(Southwest Gas/Black Tr., vol. 5, p. 574:15-27.)  The Commission should not now speculate as to whether Mr. Black’s supposition, or other possible scenarios, would materialize when it has not approved any structural modifications on the SoCalGas system under the newly restructured environment.  </w:t>
      </w:r>
    </w:p>
    <w:p>
      <w:pPr>
        <w:pStyle w:val="Normal"/>
        <w:spacing w:lineRule="auto" w:line="480"/>
        <w:rPr>
          <w:rFonts w:ascii="Arial" w:hAnsi="Arial" w:cs="Arial"/>
        </w:rPr>
      </w:pPr>
      <w:r>
        <w:rPr>
          <w:rFonts w:cs="Arial" w:ascii="Arial" w:hAnsi="Arial"/>
        </w:rPr>
      </w:r>
    </w:p>
    <w:p>
      <w:pPr>
        <w:pStyle w:val="Heading1"/>
        <w:rPr/>
      </w:pPr>
      <w:bookmarkStart w:id="6" w:name="__RefHeading___Toc487872865"/>
      <w:bookmarkEnd w:id="6"/>
      <w:r>
        <w:rPr/>
        <w:t>IV.</w:t>
        <w:tab/>
        <w:t>CONCLUSION</w:t>
      </w:r>
    </w:p>
    <w:p>
      <w:pPr>
        <w:pStyle w:val="Normal"/>
        <w:rPr>
          <w:rFonts w:ascii="Arial" w:hAnsi="Arial" w:cs="Arial"/>
        </w:rPr>
      </w:pPr>
      <w:r>
        <w:rPr>
          <w:rFonts w:cs="Arial" w:ascii="Arial" w:hAnsi="Arial"/>
        </w:rPr>
      </w:r>
    </w:p>
    <w:p>
      <w:pPr>
        <w:pStyle w:val="Normal"/>
        <w:spacing w:lineRule="auto" w:line="480"/>
        <w:ind w:firstLine="720" w:end="0"/>
        <w:rPr>
          <w:rFonts w:ascii="Arial" w:hAnsi="Arial" w:cs="Arial"/>
        </w:rPr>
      </w:pPr>
      <w:r>
        <w:rPr>
          <w:rFonts w:cs="Arial" w:ascii="Arial" w:hAnsi="Arial"/>
        </w:rPr>
        <w:t>For the foregoing reasons, Aera Energy respectfully urges the Commission to recognize Aera’s interests in these proceedings as they relate to their EOR contracts, to hear Aera’s understanding of the provisions of the Comprehensive Settlement that address existing contracts, and to refrain from expanding the scope of this broad policy-based investigation into certain promising revisions to the natural gas industry.  If, however, as Southwest has proposed, the Commission were to include a specific directive pertaining to existing contracts in its final order, then Aera respectfully urges the Commission to direct parties to existing contracts to address the impact of the adopted structural changes on the contracts by employing the dispute resolution procedures or remedies specified in their individual contracts.   The Commission should invite further proceedings to address these issues only to the extent that the specific terms of the contracts fail to lead to resolution.</w:t>
      </w:r>
    </w:p>
    <w:p>
      <w:pPr>
        <w:pStyle w:val="Normal"/>
        <w:spacing w:lineRule="auto" w:line="480"/>
        <w:rPr>
          <w:rFonts w:ascii="Arial" w:hAnsi="Arial" w:cs="Arial"/>
        </w:rPr>
      </w:pPr>
      <w:r>
        <w:rPr>
          <w:rFonts w:cs="Arial" w:ascii="Arial" w:hAnsi="Arial"/>
        </w:rPr>
      </w:r>
      <w:r>
        <w:br w:type="page"/>
      </w:r>
    </w:p>
    <w:p>
      <w:pPr>
        <w:pStyle w:val="Normal"/>
        <w:rPr>
          <w:rFonts w:ascii="Arial" w:hAnsi="Arial" w:cs="Arial"/>
        </w:rPr>
      </w:pPr>
      <w:r>
        <w:rPr>
          <w:rFonts w:cs="Arial" w:ascii="Arial" w:hAnsi="Arial"/>
        </w:rPr>
        <w:t>Submitted by:</w:t>
      </w:r>
    </w:p>
    <w:p>
      <w:pPr>
        <w:pStyle w:val="Pleading"/>
        <w:numPr>
          <w:ilvl w:val="0"/>
          <w:numId w:val="0"/>
        </w:numPr>
        <w:ind w:hanging="0" w:start="720" w:end="0"/>
        <w:rPr>
          <w:rFonts w:ascii="Arial" w:hAnsi="Arial" w:cs="Arial"/>
        </w:rPr>
      </w:pPr>
      <w:r>
        <w:rPr>
          <w:rFonts w:cs="Arial"/>
        </w:rPr>
      </w:r>
    </w:p>
    <w:p>
      <w:pPr>
        <w:pStyle w:val="Pleading"/>
        <w:numPr>
          <w:ilvl w:val="0"/>
          <w:numId w:val="0"/>
        </w:numPr>
        <w:ind w:hanging="0" w:start="720" w:end="0"/>
        <w:rPr>
          <w:rFonts w:cs="Arial"/>
        </w:rPr>
      </w:pPr>
      <w:r>
        <w:rPr>
          <w:rFonts w:cs="Arial"/>
        </w:rPr>
      </w:r>
    </w:p>
    <w:p>
      <w:pPr>
        <w:pStyle w:val="Pleading"/>
        <w:numPr>
          <w:ilvl w:val="0"/>
          <w:numId w:val="0"/>
        </w:numPr>
        <w:ind w:hanging="0" w:start="720" w:end="0"/>
        <w:rPr/>
      </w:pPr>
      <w:r>
        <w:rPr>
          <w:rFonts w:cs="Arial"/>
        </w:rPr>
        <w:tab/>
        <w:tab/>
        <w:tab/>
        <w:tab/>
        <w:tab/>
      </w:r>
      <w:r>
        <w:rPr>
          <w:rFonts w:cs="Arial"/>
          <w:b/>
          <w:bCs/>
        </w:rPr>
        <w:t>Alcantar &amp; Elsesser, LLP</w:t>
      </w:r>
    </w:p>
    <w:p>
      <w:pPr>
        <w:pStyle w:val="Pleading"/>
        <w:numPr>
          <w:ilvl w:val="0"/>
          <w:numId w:val="0"/>
        </w:numPr>
        <w:ind w:hanging="0" w:start="720" w:end="0"/>
        <w:jc w:val="end"/>
        <w:rPr>
          <w:rFonts w:cs="Arial"/>
          <w:b/>
          <w:bCs/>
        </w:rPr>
      </w:pPr>
      <w:r>
        <w:rPr>
          <w:rFonts w:cs="Arial"/>
          <w:b/>
          <w:bCs/>
        </w:rPr>
      </w:r>
    </w:p>
    <w:p>
      <w:pPr>
        <w:pStyle w:val="Pleading"/>
        <w:numPr>
          <w:ilvl w:val="0"/>
          <w:numId w:val="0"/>
        </w:numPr>
        <w:ind w:hanging="0" w:start="720" w:end="0"/>
        <w:jc w:val="end"/>
        <w:rPr>
          <w:rFonts w:cs="Arial"/>
        </w:rPr>
      </w:pPr>
      <w:r>
        <w:rPr>
          <w:rFonts w:cs="Arial"/>
        </w:rPr>
      </w:r>
    </w:p>
    <w:p>
      <w:pPr>
        <w:pStyle w:val="Pleading"/>
        <w:numPr>
          <w:ilvl w:val="0"/>
          <w:numId w:val="0"/>
        </w:numPr>
        <w:ind w:firstLine="720" w:start="3600" w:end="0"/>
        <w:rPr>
          <w:rFonts w:cs="Arial"/>
        </w:rPr>
      </w:pPr>
      <w:r>
        <w:rPr>
          <w:rFonts w:cs="Arial"/>
        </w:rPr>
        <w:t>________________________________</w:t>
      </w:r>
    </w:p>
    <w:p>
      <w:pPr>
        <w:pStyle w:val="Pleading"/>
        <w:numPr>
          <w:ilvl w:val="0"/>
          <w:numId w:val="0"/>
        </w:numPr>
        <w:ind w:firstLine="720" w:start="3600" w:end="0"/>
        <w:rPr>
          <w:rFonts w:cs="Arial"/>
        </w:rPr>
      </w:pPr>
      <w:r>
        <w:rPr>
          <w:rFonts w:cs="Arial"/>
        </w:rPr>
        <w:t xml:space="preserve">Evelyn Kahl Elsesser </w:t>
      </w:r>
    </w:p>
    <w:p>
      <w:pPr>
        <w:pStyle w:val="Pleading"/>
        <w:numPr>
          <w:ilvl w:val="0"/>
          <w:numId w:val="0"/>
        </w:numPr>
        <w:ind w:firstLine="720" w:start="3600" w:end="0"/>
        <w:rPr>
          <w:rFonts w:cs="Arial"/>
        </w:rPr>
      </w:pPr>
      <w:r>
        <w:rPr>
          <w:rFonts w:cs="Arial"/>
        </w:rPr>
        <w:t>Christine H. Jun</w:t>
      </w:r>
    </w:p>
    <w:p>
      <w:pPr>
        <w:pStyle w:val="Pleading"/>
        <w:numPr>
          <w:ilvl w:val="0"/>
          <w:numId w:val="0"/>
        </w:numPr>
        <w:ind w:firstLine="720" w:start="3600" w:end="0"/>
        <w:rPr>
          <w:rFonts w:cs="Arial"/>
        </w:rPr>
      </w:pPr>
      <w:r>
        <w:rPr>
          <w:rFonts w:cs="Arial"/>
        </w:rPr>
        <w:t>Attorneys for Aera Energy LLC</w:t>
      </w:r>
    </w:p>
    <w:p>
      <w:pPr>
        <w:pStyle w:val="Pleading"/>
        <w:numPr>
          <w:ilvl w:val="0"/>
          <w:numId w:val="0"/>
        </w:numPr>
        <w:ind w:firstLine="720" w:start="3600" w:end="0"/>
        <w:rPr>
          <w:rFonts w:cs="Arial"/>
        </w:rPr>
      </w:pPr>
      <w:r>
        <w:rPr>
          <w:rFonts w:cs="Arial"/>
        </w:rPr>
      </w:r>
    </w:p>
    <w:p>
      <w:pPr>
        <w:pStyle w:val="Normal"/>
        <w:ind w:firstLine="720" w:start="3600" w:end="0"/>
        <w:rPr>
          <w:rFonts w:ascii="Arial" w:hAnsi="Arial" w:cs="Arial"/>
        </w:rPr>
      </w:pPr>
      <w:r>
        <w:rPr>
          <w:rFonts w:cs="Arial" w:ascii="Arial" w:hAnsi="Arial"/>
        </w:rPr>
        <w:t>One Embarcadero Center Suite 2420</w:t>
      </w:r>
    </w:p>
    <w:p>
      <w:pPr>
        <w:pStyle w:val="Normal"/>
        <w:ind w:firstLine="720" w:start="3600" w:end="0"/>
        <w:rPr>
          <w:rFonts w:ascii="Arial" w:hAnsi="Arial" w:cs="Arial"/>
        </w:rPr>
      </w:pPr>
      <w:r>
        <w:rPr>
          <w:rFonts w:cs="Arial" w:ascii="Arial" w:hAnsi="Arial"/>
        </w:rPr>
        <w:t>San Francisco California  94111</w:t>
      </w:r>
    </w:p>
    <w:p>
      <w:pPr>
        <w:pStyle w:val="Normal"/>
        <w:ind w:firstLine="720" w:start="3600" w:end="0"/>
        <w:rPr>
          <w:rFonts w:ascii="Arial" w:hAnsi="Arial" w:cs="Arial"/>
        </w:rPr>
      </w:pPr>
      <w:r>
        <w:rPr>
          <w:rFonts w:cs="Arial" w:ascii="Arial" w:hAnsi="Arial"/>
        </w:rPr>
        <w:t>415.421.4143 – office</w:t>
      </w:r>
    </w:p>
    <w:p>
      <w:pPr>
        <w:pStyle w:val="Normal"/>
        <w:ind w:firstLine="720" w:start="3600" w:end="0"/>
        <w:rPr>
          <w:rFonts w:ascii="Arial" w:hAnsi="Arial" w:cs="Arial"/>
        </w:rPr>
      </w:pPr>
      <w:r>
        <w:rPr>
          <w:rFonts w:cs="Arial" w:ascii="Arial" w:hAnsi="Arial"/>
        </w:rPr>
        <w:t>415.989.1263 – fax</w:t>
      </w:r>
    </w:p>
    <w:p>
      <w:pPr>
        <w:pStyle w:val="Pleading"/>
        <w:numPr>
          <w:ilvl w:val="0"/>
          <w:numId w:val="0"/>
        </w:numPr>
        <w:ind w:firstLine="720" w:start="3600" w:end="0"/>
        <w:rPr>
          <w:rFonts w:cs="Arial"/>
        </w:rPr>
      </w:pPr>
      <w:hyperlink r:id="rId16">
        <w:r>
          <w:rPr>
            <w:rStyle w:val="Hyperlink"/>
            <w:rFonts w:cs="Arial"/>
          </w:rPr>
          <w:t>eke@aelaw.com</w:t>
        </w:r>
      </w:hyperlink>
    </w:p>
    <w:p>
      <w:pPr>
        <w:pStyle w:val="Pleading"/>
        <w:numPr>
          <w:ilvl w:val="0"/>
          <w:numId w:val="0"/>
        </w:numPr>
        <w:ind w:firstLine="720" w:start="3600" w:end="0"/>
        <w:rPr>
          <w:rFonts w:cs="Arial"/>
        </w:rPr>
      </w:pPr>
      <w:hyperlink r:id="rId17">
        <w:r>
          <w:rPr>
            <w:rStyle w:val="Hyperlink"/>
            <w:rFonts w:cs="Arial"/>
          </w:rPr>
          <w:t>chj@aelaw.com</w:t>
        </w:r>
      </w:hyperlink>
    </w:p>
    <w:p>
      <w:pPr>
        <w:pStyle w:val="Pleading"/>
        <w:numPr>
          <w:ilvl w:val="0"/>
          <w:numId w:val="0"/>
        </w:numPr>
        <w:ind w:firstLine="720" w:start="3600" w:end="0"/>
        <w:rPr>
          <w:rFonts w:cs="Arial"/>
        </w:rPr>
      </w:pPr>
      <w:r>
        <w:rPr>
          <w:rFonts w:cs="Arial"/>
        </w:rPr>
      </w:r>
    </w:p>
    <w:p>
      <w:pPr>
        <w:pStyle w:val="Pleading"/>
        <w:numPr>
          <w:ilvl w:val="0"/>
          <w:numId w:val="0"/>
        </w:numPr>
        <w:ind w:firstLine="720" w:start="3600" w:end="0"/>
        <w:rPr>
          <w:rFonts w:cs="Arial"/>
        </w:rPr>
      </w:pPr>
      <w:r>
        <w:rPr>
          <w:rFonts w:cs="Arial"/>
        </w:rPr>
      </w:r>
    </w:p>
    <w:p>
      <w:pPr>
        <w:pStyle w:val="Normal"/>
        <w:rPr>
          <w:rFonts w:ascii="Arial" w:hAnsi="Arial" w:cs="Arial"/>
        </w:rPr>
      </w:pPr>
      <w:r>
        <w:rPr>
          <w:rFonts w:cs="Arial" w:ascii="Arial" w:hAnsi="Arial"/>
        </w:rPr>
        <w:t>July 10, 2000</w:t>
      </w:r>
    </w:p>
    <w:p>
      <w:pPr>
        <w:pStyle w:val="Normal"/>
        <w:rPr>
          <w:rFonts w:ascii="Arial" w:hAnsi="Arial" w:cs="Arial"/>
        </w:rPr>
      </w:pPr>
      <w:r>
        <w:rPr>
          <w:rFonts w:cs="Arial" w:ascii="Arial" w:hAnsi="Arial"/>
        </w:rPr>
      </w:r>
    </w:p>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715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7155" cy="20955"/>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7.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715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7155" cy="20955"/>
                      </a:xfrm>
                      <a:prstGeom prst="rect"/>
                      <a:solidFill>
                        <a:srgbClr val="FFFFFF">
                          <a:alpha val="0"/>
                        </a:srgbClr>
                      </a:solidFill>
                    </wps:spPr>
                    <wps:txbx>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7.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t>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715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97155" cy="20955"/>
                      </a:xfrm>
                      <a:prstGeom prst="rect"/>
                      <a:solidFill>
                        <a:srgbClr val="FFFFFF">
                          <a:alpha val="0"/>
                        </a:srgbClr>
                      </a:solidFill>
                    </wps:spPr>
                    <wps:txbx>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7.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t>i</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6954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11</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27.35pt;mso-position-horizontal:center;mso-position-horizontal-relative:margin">
              <v:fill opacity="0f"/>
              <v:textbox inset="0in,0in,0in,0in">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11</w:t>
                    </w:r>
                    <w:r>
                      <w:rPr>
                        <w:rStyle w:val="PageNumber"/>
                        <w:rFonts w:cs="Arial" w:ascii="Arial" w:hAnsi="Arial"/>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r>
      <w:r>
        <w:rPr>
          <w:rFonts w:cs="Arial" w:ascii="Arial" w:hAnsi="Arial"/>
        </w:rPr>
        <w:t xml:space="preserve">For the purposes of this proceeding, I.99-07-003, Aera Energy LLC is not a signatory to the Comprehensive Settlement under the ad hoc coalition, Indicated Producers.  Throughout all settlement discussion in the Gas Industry Restructuring proceeding, Aera has chosen not to participate as its relationship with the SoCalGas system is limited to EOR contracts.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52"/>
      </w:rPr>
    </w:pPr>
    <w:r>
      <w:rPr>
        <w:b/>
        <w:bCs/>
        <w:i/>
        <w:iCs/>
        <w:sz w:val="5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52"/>
      </w:rPr>
    </w:pPr>
    <w:r>
      <w:rPr>
        <w:b/>
        <w:bCs/>
        <w:i/>
        <w:iCs/>
        <w:sz w:val="5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52"/>
      </w:rPr>
    </w:pPr>
    <w:r>
      <w:rPr>
        <w:b/>
        <w:bCs/>
        <w:i/>
        <w:iCs/>
        <w:sz w:val="5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52"/>
      </w:rPr>
    </w:pPr>
    <w:r>
      <w:rPr>
        <w:b/>
        <w:bCs/>
        <w:i/>
        <w:iCs/>
        <w:sz w:val="52"/>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504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480"/>
        </w:tabs>
        <w:ind w:start="5760" w:hanging="0"/>
      </w:pPr>
      <w:rPr/>
    </w:lvl>
  </w:abstractNum>
  <w:abstractNum w:abstractNumId="2">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504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480"/>
        </w:tabs>
        <w:ind w:start="5760" w:hanging="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outlineLvl w:val="0"/>
    </w:pPr>
    <w:rPr>
      <w:rFonts w:ascii="Arial" w:hAnsi="Arial" w:cs="Arial"/>
      <w:b/>
      <w:bC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Arial" w:hAnsi="Arial" w:cs="Arial"/>
      <w:b/>
      <w:i w:val="false"/>
      <w:caps w:val="false"/>
      <w:smallCaps w:val="false"/>
      <w:strike w:val="false"/>
      <w:dstrike w:val="false"/>
      <w:outline w:val="false"/>
      <w:shadow w:val="false"/>
      <w:vanish w:val="false"/>
      <w:position w:val="0"/>
      <w:sz w:val="24"/>
      <w:sz w:val="24"/>
      <w:vertAlign w:val="baseline"/>
    </w:rPr>
  </w:style>
  <w:style w:type="character" w:styleId="WW8Num1z1">
    <w:name w:val="WW8Num1z1"/>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Subtitle">
    <w:name w:val="Subtitle"/>
    <w:basedOn w:val="Normal"/>
    <w:next w:val="BodyText"/>
    <w:qFormat/>
    <w:pPr>
      <w:jc w:val="center"/>
    </w:pPr>
    <w:rPr>
      <w:rFonts w:ascii="Arial" w:hAnsi="Arial" w:cs="Arial"/>
      <w:b/>
      <w:szCs w:val="20"/>
    </w:rPr>
  </w:style>
  <w:style w:type="paragraph" w:styleId="Pleading">
    <w:name w:val="Pleading"/>
    <w:basedOn w:val="Normal"/>
    <w:qFormat/>
    <w:pPr>
      <w:numPr>
        <w:ilvl w:val="0"/>
        <w:numId w:val="2"/>
      </w:numPr>
    </w:pPr>
    <w:rPr>
      <w:rFonts w:ascii="Arial" w:hAnsi="Arial" w:cs="Arial"/>
    </w:rPr>
  </w:style>
  <w:style w:type="paragraph" w:styleId="BodyTextIndent">
    <w:name w:val="Body Text Indent"/>
    <w:basedOn w:val="Normal"/>
    <w:pPr>
      <w:tabs>
        <w:tab w:val="clear" w:pos="720"/>
        <w:tab w:val="left" w:pos="-1440" w:leader="none"/>
        <w:tab w:val="left" w:pos="-720" w:leader="none"/>
        <w:tab w:val="left" w:pos="0" w:leader="none"/>
        <w:tab w:val="left" w:pos="1440" w:leader="none"/>
        <w:tab w:val="left" w:pos="2880" w:leader="none"/>
        <w:tab w:val="left" w:pos="4320" w:leader="none"/>
        <w:tab w:val="left" w:pos="5760" w:leader="none"/>
        <w:tab w:val="left" w:pos="7200" w:leader="none"/>
        <w:tab w:val="left" w:pos="8640" w:leader="none"/>
      </w:tabs>
      <w:spacing w:lineRule="auto" w:line="480"/>
      <w:ind w:firstLine="1440" w:start="0" w:end="0"/>
    </w:pPr>
    <w:rPr>
      <w:sz w:val="25"/>
      <w:szCs w:val="20"/>
    </w:rPr>
  </w:style>
  <w:style w:type="paragraph" w:styleId="BodyTextIndent2">
    <w:name w:val="Body Text Indent 2"/>
    <w:basedOn w:val="Normal"/>
    <w:qFormat/>
    <w:pPr>
      <w:spacing w:lineRule="auto" w:line="480"/>
      <w:ind w:firstLine="720" w:start="0" w:end="0"/>
    </w:pPr>
    <w:rPr>
      <w:rFonts w:ascii="Arial" w:hAnsi="Arial" w:cs="Arial"/>
    </w:rPr>
  </w:style>
  <w:style w:type="paragraph" w:styleId="BodyTextIndent3">
    <w:name w:val="Body Text Indent 3"/>
    <w:basedOn w:val="Normal"/>
    <w:qFormat/>
    <w:pPr>
      <w:ind w:firstLine="720" w:start="0" w:end="0"/>
    </w:pPr>
    <w:rPr>
      <w:rFonts w:ascii="Arial" w:hAnsi="Arial" w:cs="Arial"/>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jc w:val="both"/>
    </w:pPr>
    <w:rPr>
      <w:rFonts w:ascii="Arial" w:hAnsi="Arial" w:cs="Arial"/>
      <w:i/>
      <w:i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ke@aelaw.com" TargetMode="External"/><Relationship Id="rId3" Type="http://schemas.openxmlformats.org/officeDocument/2006/relationships/hyperlink" Target="mailto:chj@aelaw.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yperlink" Target="mailto:eke@aelaw.com" TargetMode="External"/><Relationship Id="rId17" Type="http://schemas.openxmlformats.org/officeDocument/2006/relationships/hyperlink" Target="mailto:chj@aelaw.com" TargetMode="Externa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2000-07-10T13:27:00Z</dcterms:created>
  <dc:creator>Valued Sony Customer</dc:creator>
  <dc:description/>
  <dc:language>en-CA</dc:language>
  <cp:lastModifiedBy>PAV</cp:lastModifiedBy>
  <cp:lastPrinted>2000-07-10T15:32:00Z</cp:lastPrinted>
  <dcterms:modified xsi:type="dcterms:W3CDTF">2000-07-10T20:02:00Z</dcterms:modified>
  <cp:revision>11</cp:revision>
  <dc:subject/>
  <dc:title>BEFORE THE PUBLIC UTILITIES COMMISSION</dc:title>
</cp:coreProperties>
</file>