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Century Schoolbook" w:hAnsi="Century Schoolbook" w:cs="Century Schoolbook"/>
          <w:sz w:val="24"/>
        </w:rPr>
      </w:pPr>
      <w:r>
        <w:rPr>
          <w:rFonts w:cs="Century Schoolbook" w:ascii="Century Schoolbook" w:hAnsi="Century Schoolbook"/>
          <w:sz w:val="24"/>
        </w:rPr>
        <w:t xml:space="preserve">Bonneville Power Administration </w:t>
      </w:r>
    </w:p>
    <w:p>
      <w:pPr>
        <w:pStyle w:val="Heading"/>
        <w:rPr>
          <w:rFonts w:ascii="Century Schoolbook" w:hAnsi="Century Schoolbook" w:cs="Century Schoolbook"/>
          <w:sz w:val="24"/>
        </w:rPr>
      </w:pPr>
      <w:r>
        <w:rPr>
          <w:rFonts w:cs="Century Schoolbook" w:ascii="Century Schoolbook" w:hAnsi="Century Schoolbook"/>
          <w:sz w:val="24"/>
        </w:rPr>
        <w:t xml:space="preserve">Transmission Business Line </w:t>
      </w:r>
    </w:p>
    <w:p>
      <w:pPr>
        <w:pStyle w:val="Heading"/>
        <w:rPr>
          <w:rFonts w:ascii="Century Schoolbook" w:hAnsi="Century Schoolbook" w:cs="Century Schoolbook"/>
          <w:sz w:val="24"/>
        </w:rPr>
      </w:pPr>
      <w:r>
        <w:rPr>
          <w:rFonts w:cs="Century Schoolbook" w:ascii="Century Schoolbook" w:hAnsi="Century Schoolbook"/>
          <w:sz w:val="24"/>
        </w:rPr>
        <w:t xml:space="preserve">Business Practices </w:t>
      </w:r>
    </w:p>
    <w:p>
      <w:pPr>
        <w:pStyle w:val="Heading"/>
        <w:rPr>
          <w:rFonts w:ascii="Century Schoolbook" w:hAnsi="Century Schoolbook" w:cs="Century Schoolbook"/>
          <w:sz w:val="24"/>
        </w:rPr>
      </w:pPr>
      <w:r>
        <w:rPr>
          <w:rFonts w:cs="Century Schoolbook" w:ascii="Century Schoolbook" w:hAnsi="Century Schoolbook"/>
          <w:sz w:val="24"/>
        </w:rPr>
        <w:t>FY 2002-2003 Rate Period</w:t>
      </w:r>
    </w:p>
    <w:p>
      <w:pPr>
        <w:pStyle w:val="Heading"/>
        <w:rPr>
          <w:rFonts w:ascii="Century Schoolbook" w:hAnsi="Century Schoolbook" w:cs="Century Schoolbook"/>
          <w:sz w:val="24"/>
        </w:rPr>
      </w:pPr>
      <w:r>
        <w:rPr>
          <w:rFonts w:cs="Century Schoolbook" w:ascii="Century Schoolbook" w:hAnsi="Century Schoolbook"/>
          <w:sz w:val="24"/>
        </w:rPr>
      </w:r>
    </w:p>
    <w:p>
      <w:pPr>
        <w:pStyle w:val="Heading"/>
        <w:rPr>
          <w:rFonts w:ascii="Century Schoolbook" w:hAnsi="Century Schoolbook" w:cs="Century Schoolbook"/>
          <w:sz w:val="24"/>
        </w:rPr>
      </w:pPr>
      <w:r>
        <w:rPr>
          <w:rFonts w:cs="Century Schoolbook" w:ascii="Century Schoolbook" w:hAnsi="Century Schoolbook"/>
          <w:sz w:val="24"/>
        </w:rPr>
      </w:r>
    </w:p>
    <w:p>
      <w:pPr>
        <w:pStyle w:val="Heading"/>
        <w:rPr>
          <w:rFonts w:ascii="Century Schoolbook" w:hAnsi="Century Schoolbook" w:cs="Century Schoolbook"/>
          <w:sz w:val="24"/>
        </w:rPr>
      </w:pPr>
      <w:r>
        <w:rPr>
          <w:rFonts w:cs="Century Schoolbook" w:ascii="Century Schoolbook" w:hAnsi="Century Schoolbook"/>
          <w:sz w:val="24"/>
        </w:rPr>
      </w:r>
    </w:p>
    <w:p>
      <w:pPr>
        <w:pStyle w:val="Heading1"/>
        <w:numPr>
          <w:ilvl w:val="0"/>
          <w:numId w:val="0"/>
        </w:numPr>
        <w:spacing w:lineRule="auto" w:line="240"/>
        <w:ind w:hanging="0" w:start="0"/>
        <w:jc w:val="center"/>
        <w:rPr>
          <w:rFonts w:ascii="Century Schoolbook" w:hAnsi="Century Schoolbook" w:cs="Century Schoolbook"/>
        </w:rPr>
      </w:pPr>
      <w:r>
        <w:rPr>
          <w:rFonts w:cs="Century Schoolbook" w:ascii="Century Schoolbook" w:hAnsi="Century Schoolbook"/>
          <w:rPrChange w:id="0" w:author="Unknown Author" w:date="0-00-00T00:00:00Z"/>
        </w:rPr>
        <w:t>Comment Solicitation on Business Practice</w:t>
      </w:r>
    </w:p>
    <w:p>
      <w:pPr>
        <w:pStyle w:val="Heading1"/>
        <w:numPr>
          <w:ilvl w:val="0"/>
          <w:numId w:val="0"/>
        </w:numPr>
        <w:spacing w:lineRule="auto" w:line="240"/>
        <w:ind w:hanging="0" w:start="0"/>
        <w:jc w:val="center"/>
        <w:rPr>
          <w:rFonts w:ascii="Century Schoolbook" w:hAnsi="Century Schoolbook" w:cs="Century Schoolbook"/>
        </w:rPr>
      </w:pPr>
      <w:r>
        <w:rPr>
          <w:rFonts w:cs="Century Schoolbook" w:ascii="Century Schoolbook" w:hAnsi="Century Schoolbook"/>
          <w:rPrChange w:id="0" w:author="Unknown Author" w:date="0-00-00T00:00:00Z"/>
        </w:rPr>
        <w:t>Implementing the 2002 Rate Case Settlement</w:t>
      </w:r>
    </w:p>
    <w:p>
      <w:pPr>
        <w:pStyle w:val="Normal"/>
        <w:jc w:val="center"/>
        <w:rPr>
          <w:b/>
        </w:rPr>
      </w:pPr>
      <w:r>
        <w:rPr>
          <w:b/>
        </w:rPr>
        <w:t>Effective October 1, 2001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1"/>
        <w:numPr>
          <w:ilvl w:val="0"/>
          <w:numId w:val="0"/>
        </w:numPr>
        <w:spacing w:lineRule="auto" w:line="240"/>
        <w:ind w:hanging="0" w:start="0"/>
        <w:jc w:val="center"/>
        <w:rPr>
          <w:rFonts w:ascii="Century Schoolbook" w:hAnsi="Century Schoolbook" w:cs="Century Schoolbook"/>
        </w:rPr>
      </w:pPr>
      <w:r>
        <w:rPr>
          <w:rFonts w:cs="Century Schoolbook" w:ascii="Century Schoolbook" w:hAnsi="Century Schoolbook"/>
          <w:rPrChange w:id="0" w:author="Unknown Author" w:date="0-00-00T00:00:00Z"/>
        </w:rPr>
        <w:t>Section IV</w:t>
      </w:r>
    </w:p>
    <w:p>
      <w:pPr>
        <w:pStyle w:val="Normal"/>
        <w:jc w:val="center"/>
        <w:rPr>
          <w:b/>
        </w:rPr>
      </w:pPr>
      <w:r>
        <w:rPr>
          <w:b/>
        </w:rPr>
        <w:t>Sheltering Basics</w:t>
      </w:r>
    </w:p>
    <w:p>
      <w:pPr>
        <w:pStyle w:val="Heading1"/>
        <w:numPr>
          <w:ilvl w:val="0"/>
          <w:numId w:val="0"/>
        </w:numPr>
        <w:spacing w:lineRule="auto" w:line="240"/>
        <w:ind w:hanging="0" w:start="0"/>
        <w:jc w:val="center"/>
        <w:rPr>
          <w:rFonts w:ascii="Century Schoolbook" w:hAnsi="Century Schoolbook" w:cs="Century Schoolbook"/>
          <w:b w:val="false"/>
        </w:rPr>
      </w:pPr>
      <w:r>
        <w:rPr>
          <w:rFonts w:cs="Century Schoolbook" w:ascii="Century Schoolbook" w:hAnsi="Century Schoolbook"/>
          <w:b w:val="false"/>
          <w:rPrChange w:id="0" w:author="Unknown Author" w:date="0-00-00T00:00:00Z"/>
        </w:rPr>
        <w:rPrChange w:id="0" w:author="Unknown Author" w:date="0-00-00T00:00:00Z"/>
      </w:r>
    </w:p>
    <w:p>
      <w:pPr>
        <w:pStyle w:val="Heading1"/>
        <w:numPr>
          <w:ilvl w:val="0"/>
          <w:numId w:val="0"/>
        </w:numPr>
        <w:spacing w:lineRule="auto" w:line="240"/>
        <w:ind w:hanging="0" w:start="0"/>
        <w:jc w:val="center"/>
        <w:rPr>
          <w:rFonts w:ascii="Century Schoolbook" w:hAnsi="Century Schoolbook" w:cs="Century Schoolbook"/>
        </w:rPr>
      </w:pPr>
      <w:r>
        <w:rPr>
          <w:rFonts w:cs="Century Schoolbook" w:ascii="Century Schoolbook" w:hAnsi="Century Schoolbook"/>
          <w:rPrChange w:id="0" w:author="Unknown Author" w:date="0-00-00T00:00:00Z"/>
        </w:rPr>
        <w:t>Posted: February 12, 2001</w:t>
      </w:r>
    </w:p>
    <w:p>
      <w:pPr>
        <w:pStyle w:val="Normal"/>
        <w:jc w:val="center"/>
        <w:rPr>
          <w:rFonts w:ascii="Century Schoolbook" w:hAnsi="Century Schoolbook" w:cs="Century Schoolbook"/>
          <w:b/>
          <w:sz w:val="22"/>
        </w:rPr>
      </w:pPr>
      <w:r>
        <w:rPr>
          <w:rFonts w:cs="Century Schoolbook"/>
          <w:b/>
          <w:sz w:val="22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CHANGE:  Comment period extended to March 2, 2001.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b/>
          <w:sz w:val="22"/>
        </w:rPr>
        <w:t>Please review and comment on Section IV, Sheltering Basics Business Practice by close of business February 23, 2001</w:t>
      </w:r>
      <w:r>
        <w:rPr>
          <w:sz w:val="22"/>
        </w:rPr>
        <w:t>.  Please reference the specific section for which you are providing comments.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Comments should be submitted by E-mail to: 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hyperlink r:id="rId2">
        <w:r>
          <w:rPr>
            <w:rStyle w:val="Hyperlink"/>
          </w:rPr>
          <w:t>Madalton@bpa.gov</w:t>
        </w:r>
      </w:hyperlink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AND</w:t>
      </w:r>
    </w:p>
    <w:p>
      <w:pPr>
        <w:pStyle w:val="Normal"/>
        <w:rPr>
          <w:sz w:val="22"/>
        </w:rPr>
      </w:pPr>
      <w:hyperlink r:id="rId3">
        <w:r>
          <w:rPr>
            <w:rStyle w:val="Hyperlink"/>
            <w:sz w:val="22"/>
          </w:rPr>
          <w:t>Jmcneilkeister@bpa.gov</w:t>
        </w:r>
      </w:hyperlink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All customer comments and BPA's Transmission Business Line's (BPAT) responses to those comments will be posted on BPAT's OASIS website on or about March 16, 2001.</w:t>
      </w:r>
    </w:p>
    <w:p>
      <w:pPr>
        <w:pStyle w:val="Normal"/>
        <w:rPr>
          <w:sz w:val="22"/>
        </w:rPr>
      </w:pPr>
      <w:r>
        <w:rPr>
          <w:sz w:val="22"/>
        </w:rPr>
      </w:r>
      <w:r>
        <w:br w:type="page"/>
      </w:r>
    </w:p>
    <w:p>
      <w:pPr>
        <w:pStyle w:val="Heading1"/>
        <w:numPr>
          <w:ilvl w:val="0"/>
          <w:numId w:val="0"/>
        </w:numPr>
        <w:spacing w:lineRule="auto" w:line="240"/>
        <w:ind w:hanging="0" w:start="0"/>
        <w:jc w:val="center"/>
        <w:rPr>
          <w:sz w:val="22"/>
        </w:rPr>
      </w:pPr>
      <w:r>
        <w:rPr>
          <w:sz w:val="22"/>
          <w:rPrChange w:id="0" w:author="Unknown Author" w:date="0-00-00T00:00:00Z"/>
        </w:rPr>
        <w:rPrChange w:id="0" w:author="Unknown Author" w:date="0-00-00T00:00:00Z"/>
      </w:r>
    </w:p>
    <w:p>
      <w:pPr>
        <w:pStyle w:val="Heading"/>
        <w:rPr>
          <w:rFonts w:ascii="Century Schoolbook" w:hAnsi="Century Schoolbook" w:cs="Century Schoolbook"/>
          <w:sz w:val="24"/>
        </w:rPr>
      </w:pPr>
      <w:r>
        <w:rPr>
          <w:rFonts w:cs="Century Schoolbook" w:ascii="Century Schoolbook" w:hAnsi="Century Schoolbook"/>
          <w:sz w:val="24"/>
        </w:rPr>
        <w:t xml:space="preserve">Bonneville Power Administration </w:t>
      </w:r>
    </w:p>
    <w:p>
      <w:pPr>
        <w:pStyle w:val="Heading"/>
        <w:rPr>
          <w:rFonts w:ascii="Century Schoolbook" w:hAnsi="Century Schoolbook" w:cs="Century Schoolbook"/>
          <w:sz w:val="24"/>
        </w:rPr>
      </w:pPr>
      <w:r>
        <w:rPr>
          <w:rFonts w:cs="Century Schoolbook" w:ascii="Century Schoolbook" w:hAnsi="Century Schoolbook"/>
          <w:sz w:val="24"/>
        </w:rPr>
        <w:t>Transmission Business Line  (BPAT)</w:t>
      </w:r>
    </w:p>
    <w:p>
      <w:pPr>
        <w:pStyle w:val="Heading"/>
        <w:rPr>
          <w:rFonts w:ascii="Century Schoolbook" w:hAnsi="Century Schoolbook" w:cs="Century Schoolbook"/>
          <w:sz w:val="24"/>
        </w:rPr>
      </w:pPr>
      <w:r>
        <w:rPr>
          <w:rFonts w:cs="Century Schoolbook" w:ascii="Century Schoolbook" w:hAnsi="Century Schoolbook"/>
          <w:sz w:val="24"/>
        </w:rPr>
        <w:t xml:space="preserve">Business Practices </w:t>
      </w:r>
    </w:p>
    <w:p>
      <w:pPr>
        <w:pStyle w:val="Heading"/>
        <w:rPr>
          <w:rFonts w:ascii="Century Schoolbook" w:hAnsi="Century Schoolbook" w:cs="Century Schoolbook"/>
          <w:sz w:val="22"/>
        </w:rPr>
      </w:pPr>
      <w:r>
        <w:rPr>
          <w:rFonts w:cs="Century Schoolbook" w:ascii="Century Schoolbook" w:hAnsi="Century Schoolbook"/>
          <w:sz w:val="24"/>
        </w:rPr>
        <w:t>2002-2003 Rate Period</w:t>
      </w:r>
    </w:p>
    <w:p>
      <w:pPr>
        <w:pStyle w:val="Heading"/>
        <w:rPr>
          <w:rFonts w:ascii="Century Schoolbook" w:hAnsi="Century Schoolbook" w:cs="Century Schoolbook"/>
          <w:sz w:val="22"/>
        </w:rPr>
      </w:pPr>
      <w:r>
        <w:rPr>
          <w:rFonts w:cs="Century Schoolbook" w:ascii="Century Schoolbook" w:hAnsi="Century Schoolbook"/>
          <w:sz w:val="22"/>
        </w:rPr>
      </w:r>
    </w:p>
    <w:p>
      <w:pPr>
        <w:pStyle w:val="Heading"/>
        <w:rPr>
          <w:rFonts w:ascii="Century Schoolbook" w:hAnsi="Century Schoolbook" w:cs="Century Schoolbook"/>
          <w:sz w:val="22"/>
        </w:rPr>
      </w:pPr>
      <w:r>
        <w:rPr>
          <w:rFonts w:cs="Century Schoolbook" w:ascii="Century Schoolbook" w:hAnsi="Century Schoolbook"/>
          <w:sz w:val="22"/>
        </w:rPr>
      </w:r>
    </w:p>
    <w:p>
      <w:pPr>
        <w:pStyle w:val="Heading"/>
        <w:rPr>
          <w:rFonts w:ascii="Century Schoolbook" w:hAnsi="Century Schoolbook" w:cs="Century Schoolbook"/>
          <w:sz w:val="24"/>
        </w:rPr>
      </w:pPr>
      <w:r>
        <w:rPr>
          <w:rFonts w:cs="Century Schoolbook" w:ascii="Century Schoolbook" w:hAnsi="Century Schoolbook"/>
          <w:sz w:val="24"/>
        </w:rPr>
        <w:t>Table of Content</w:t>
      </w:r>
    </w:p>
    <w:p>
      <w:pPr>
        <w:pStyle w:val="Heading"/>
        <w:rPr>
          <w:rFonts w:ascii="Century Schoolbook" w:hAnsi="Century Schoolbook" w:cs="Century Schoolbook"/>
          <w:sz w:val="24"/>
        </w:rPr>
      </w:pPr>
      <w:r>
        <w:rPr>
          <w:rFonts w:cs="Century Schoolbook" w:ascii="Century Schoolbook" w:hAnsi="Century Schoolbook"/>
          <w:sz w:val="24"/>
        </w:rPr>
      </w:r>
    </w:p>
    <w:p>
      <w:pPr>
        <w:pStyle w:val="Heading"/>
        <w:tabs>
          <w:tab w:val="clear" w:pos="720"/>
          <w:tab w:val="left" w:pos="1350" w:leader="none"/>
          <w:tab w:val="left" w:pos="7560" w:leader="none"/>
        </w:tabs>
        <w:ind w:end="-360"/>
        <w:jc w:val="start"/>
        <w:rPr>
          <w:rFonts w:ascii="Century Schoolbook" w:hAnsi="Century Schoolbook" w:cs="Century Schoolbook"/>
          <w:sz w:val="22"/>
        </w:rPr>
      </w:pPr>
      <w:r>
        <w:rPr>
          <w:rFonts w:cs="Century Schoolbook" w:ascii="Century Schoolbook" w:hAnsi="Century Schoolbook"/>
          <w:sz w:val="22"/>
        </w:rPr>
        <w:t>SECTION</w:t>
        <w:tab/>
        <w:tab/>
        <w:t xml:space="preserve">Page No. </w:t>
      </w:r>
    </w:p>
    <w:p>
      <w:pPr>
        <w:pStyle w:val="Heading"/>
        <w:tabs>
          <w:tab w:val="clear" w:pos="720"/>
          <w:tab w:val="left" w:pos="1350" w:leader="none"/>
          <w:tab w:val="left" w:pos="7560" w:leader="none"/>
        </w:tabs>
        <w:ind w:end="-360"/>
        <w:jc w:val="start"/>
        <w:rPr>
          <w:rFonts w:ascii="Century Schoolbook" w:hAnsi="Century Schoolbook" w:cs="Century Schoolbook"/>
          <w:sz w:val="22"/>
        </w:rPr>
      </w:pPr>
      <w:r>
        <w:rPr>
          <w:rFonts w:cs="Century Schoolbook" w:ascii="Century Schoolbook" w:hAnsi="Century Schoolbook"/>
          <w:sz w:val="22"/>
        </w:rPr>
      </w:r>
    </w:p>
    <w:p>
      <w:pPr>
        <w:pStyle w:val="Heading"/>
        <w:numPr>
          <w:ilvl w:val="0"/>
          <w:numId w:val="8"/>
        </w:numPr>
        <w:tabs>
          <w:tab w:val="clear" w:pos="720"/>
          <w:tab w:val="left" w:pos="0" w:leader="none"/>
        </w:tabs>
        <w:jc w:val="start"/>
        <w:rPr>
          <w:rFonts w:ascii="Century Schoolbook" w:hAnsi="Century Schoolbook" w:cs="Century Schoolbook"/>
          <w:sz w:val="22"/>
        </w:rPr>
      </w:pPr>
      <w:r>
        <w:rPr>
          <w:rFonts w:cs="Century Schoolbook" w:ascii="Century Schoolbook" w:hAnsi="Century Schoolbook"/>
          <w:sz w:val="22"/>
        </w:rPr>
        <w:t xml:space="preserve">Commonly Used Acronyms </w:t>
      </w:r>
    </w:p>
    <w:p>
      <w:pPr>
        <w:pStyle w:val="Heading"/>
        <w:tabs>
          <w:tab w:val="clear" w:pos="720"/>
          <w:tab w:val="left" w:pos="0" w:leader="none"/>
        </w:tabs>
        <w:jc w:val="start"/>
        <w:rPr>
          <w:rFonts w:ascii="Century Schoolbook" w:hAnsi="Century Schoolbook" w:cs="Century Schoolbook"/>
          <w:sz w:val="22"/>
        </w:rPr>
      </w:pPr>
      <w:r>
        <w:rPr>
          <w:rFonts w:cs="Century Schoolbook" w:ascii="Century Schoolbook" w:hAnsi="Century Schoolbook"/>
          <w:sz w:val="22"/>
        </w:rPr>
      </w:r>
    </w:p>
    <w:p>
      <w:pPr>
        <w:pStyle w:val="Heading"/>
        <w:numPr>
          <w:ilvl w:val="0"/>
          <w:numId w:val="8"/>
        </w:numPr>
        <w:tabs>
          <w:tab w:val="clear" w:pos="720"/>
          <w:tab w:val="left" w:pos="0" w:leader="none"/>
        </w:tabs>
        <w:spacing w:lineRule="auto" w:line="480"/>
        <w:jc w:val="start"/>
        <w:rPr>
          <w:rFonts w:ascii="Century Schoolbook" w:hAnsi="Century Schoolbook" w:cs="Century Schoolbook"/>
          <w:sz w:val="22"/>
        </w:rPr>
      </w:pPr>
      <w:r>
        <w:rPr>
          <w:rFonts w:cs="Century Schoolbook" w:ascii="Century Schoolbook" w:hAnsi="Century Schoolbook"/>
          <w:sz w:val="22"/>
        </w:rPr>
        <w:t xml:space="preserve">Scheduling Procedures </w:t>
      </w:r>
    </w:p>
    <w:p>
      <w:pPr>
        <w:pStyle w:val="Heading"/>
        <w:tabs>
          <w:tab w:val="clear" w:pos="720"/>
          <w:tab w:val="left" w:pos="0" w:leader="none"/>
        </w:tabs>
        <w:ind w:start="720" w:end="0"/>
        <w:jc w:val="start"/>
        <w:rPr>
          <w:rFonts w:ascii="Century Schoolbook" w:hAnsi="Century Schoolbook" w:cs="Century Schoolbook"/>
          <w:sz w:val="22"/>
        </w:rPr>
      </w:pPr>
      <w:r>
        <w:rPr>
          <w:rFonts w:cs="Century Schoolbook" w:ascii="Century Schoolbook" w:hAnsi="Century Schoolbook"/>
          <w:sz w:val="22"/>
        </w:rPr>
        <w:t>A.</w:t>
        <w:tab/>
        <w:t>General Terms</w:t>
      </w:r>
    </w:p>
    <w:p>
      <w:pPr>
        <w:pStyle w:val="Normal"/>
        <w:ind w:firstLine="720" w:end="0"/>
        <w:rPr>
          <w:b/>
          <w:sz w:val="22"/>
        </w:rPr>
      </w:pPr>
      <w:r>
        <w:rPr>
          <w:b/>
          <w:sz w:val="22"/>
        </w:rPr>
        <w:t>B.</w:t>
        <w:tab/>
        <w:t>Specific Transmission Services</w:t>
      </w:r>
    </w:p>
    <w:p>
      <w:pPr>
        <w:pStyle w:val="Normal"/>
        <w:ind w:firstLine="720" w:start="720" w:end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firstLine="720" w:start="720" w:end="0"/>
        <w:rPr>
          <w:b/>
          <w:sz w:val="22"/>
        </w:rPr>
      </w:pPr>
      <w:r>
        <w:rPr>
          <w:b/>
          <w:sz w:val="22"/>
        </w:rPr>
        <w:t>1.1</w:t>
        <w:tab/>
        <w:t xml:space="preserve">Firm Point-to-Point (PTP) Transmission Service </w:t>
      </w:r>
    </w:p>
    <w:p>
      <w:pPr>
        <w:pStyle w:val="Normal"/>
        <w:numPr>
          <w:ilvl w:val="1"/>
          <w:numId w:val="7"/>
        </w:numPr>
        <w:rPr>
          <w:b/>
          <w:sz w:val="22"/>
        </w:rPr>
      </w:pPr>
      <w:r>
        <w:rPr>
          <w:b/>
          <w:sz w:val="22"/>
        </w:rPr>
        <w:t>Non-Firm Point-to-Point (PTP) Transmission Service</w:t>
      </w:r>
    </w:p>
    <w:p>
      <w:pPr>
        <w:pStyle w:val="Normal"/>
        <w:ind w:firstLine="720" w:start="720" w:end="0"/>
        <w:rPr>
          <w:b/>
          <w:sz w:val="22"/>
        </w:rPr>
      </w:pPr>
      <w:r>
        <w:rPr>
          <w:b/>
          <w:sz w:val="22"/>
        </w:rPr>
        <w:t>1.3</w:t>
        <w:tab/>
        <w:t>Network Integration (NT) Transmission Service</w:t>
      </w:r>
    </w:p>
    <w:p>
      <w:pPr>
        <w:pStyle w:val="Normal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sz w:val="22"/>
        </w:rPr>
      </w:pPr>
      <w:r>
        <w:rPr>
          <w:b/>
          <w:sz w:val="22"/>
        </w:rPr>
        <w:tab/>
        <w:t>Table A - Reservation Timing Requirements</w:t>
      </w:r>
    </w:p>
    <w:p>
      <w:pPr>
        <w:pStyle w:val="Heading3"/>
        <w:tabs>
          <w:tab w:val="clear" w:pos="360"/>
          <w:tab w:val="clear" w:pos="1080"/>
          <w:tab w:val="left" w:pos="0" w:leader="none"/>
          <w:tab w:val="left" w:pos="1440" w:leader="none"/>
          <w:tab w:val="left" w:pos="1800" w:leader="none"/>
          <w:tab w:val="left" w:pos="2520" w:leader="none"/>
          <w:tab w:val="left" w:pos="3240" w:leader="none"/>
          <w:tab w:val="left" w:pos="3960" w:leader="none"/>
          <w:tab w:val="left" w:pos="4680" w:leader="none"/>
          <w:tab w:val="left" w:pos="5400" w:leader="none"/>
          <w:tab w:val="left" w:pos="6120" w:leader="none"/>
          <w:tab w:val="left" w:pos="6840" w:leader="none"/>
          <w:tab w:val="left" w:pos="7560" w:leader="none"/>
          <w:tab w:val="left" w:pos="8280" w:leader="none"/>
        </w:tabs>
        <w:ind w:hanging="0" w:end="0"/>
        <w:jc w:val="start"/>
        <w:rPr>
          <w:rFonts w:ascii="Century Schoolbook" w:hAnsi="Century Schoolbook" w:cs="Century Schoolbook"/>
          <w:b/>
          <w:sz w:val="22"/>
        </w:rPr>
      </w:pPr>
      <w:r>
        <w:rPr>
          <w:rFonts w:cs="Century Schoolbook" w:ascii="Century Schoolbook" w:hAnsi="Century Schoolbook"/>
          <w:b/>
          <w:sz w:val="22"/>
        </w:rPr>
        <w:tab/>
        <w:t xml:space="preserve">Table B - Priorities for Competing </w:t>
      </w:r>
    </w:p>
    <w:p>
      <w:pPr>
        <w:pStyle w:val="Heading3"/>
        <w:tabs>
          <w:tab w:val="clear" w:pos="360"/>
          <w:tab w:val="clear" w:pos="1080"/>
          <w:tab w:val="left" w:pos="0" w:leader="none"/>
          <w:tab w:val="left" w:pos="1440" w:leader="none"/>
          <w:tab w:val="left" w:pos="1800" w:leader="none"/>
          <w:tab w:val="left" w:pos="2520" w:leader="none"/>
          <w:tab w:val="left" w:pos="3240" w:leader="none"/>
          <w:tab w:val="left" w:pos="3960" w:leader="none"/>
          <w:tab w:val="left" w:pos="4680" w:leader="none"/>
          <w:tab w:val="left" w:pos="5400" w:leader="none"/>
          <w:tab w:val="left" w:pos="6120" w:leader="none"/>
          <w:tab w:val="left" w:pos="6840" w:leader="none"/>
          <w:tab w:val="left" w:pos="7560" w:leader="none"/>
          <w:tab w:val="left" w:pos="8280" w:leader="none"/>
        </w:tabs>
        <w:ind w:hanging="0" w:end="0"/>
        <w:jc w:val="start"/>
        <w:rPr>
          <w:rFonts w:ascii="Century Schoolbook" w:hAnsi="Century Schoolbook" w:cs="Century Schoolbook"/>
          <w:b/>
          <w:sz w:val="22"/>
        </w:rPr>
      </w:pPr>
      <w:r>
        <w:rPr>
          <w:rFonts w:cs="Century Schoolbook" w:ascii="Century Schoolbook" w:hAnsi="Century Schoolbook"/>
          <w:b/>
          <w:sz w:val="22"/>
        </w:rPr>
        <w:tab/>
        <w:t xml:space="preserve">                     Reservation Requests</w:t>
      </w:r>
    </w:p>
    <w:p>
      <w:pPr>
        <w:pStyle w:val="Normal"/>
        <w:rPr>
          <w:rFonts w:ascii="Century Schoolbook" w:hAnsi="Century Schoolbook" w:cs="Century Schoolbook"/>
          <w:b/>
          <w:sz w:val="22"/>
        </w:rPr>
      </w:pPr>
      <w:r>
        <w:rPr>
          <w:rFonts w:cs="Century Schoolbook"/>
          <w:b/>
          <w:sz w:val="22"/>
        </w:rPr>
      </w:r>
    </w:p>
    <w:p>
      <w:pPr>
        <w:pStyle w:val="Heading"/>
        <w:numPr>
          <w:ilvl w:val="0"/>
          <w:numId w:val="8"/>
        </w:numPr>
        <w:spacing w:lineRule="auto" w:line="480"/>
        <w:jc w:val="start"/>
        <w:rPr>
          <w:rFonts w:ascii="Century Schoolbook" w:hAnsi="Century Schoolbook" w:cs="Century Schoolbook"/>
          <w:sz w:val="22"/>
        </w:rPr>
      </w:pPr>
      <w:r>
        <w:rPr>
          <w:rFonts w:cs="Century Schoolbook" w:ascii="Century Schoolbook" w:hAnsi="Century Schoolbook"/>
          <w:sz w:val="22"/>
        </w:rPr>
        <w:t>Remote Resources and Remote Loads</w:t>
      </w:r>
    </w:p>
    <w:p>
      <w:pPr>
        <w:pStyle w:val="Heading"/>
        <w:numPr>
          <w:ilvl w:val="0"/>
          <w:numId w:val="8"/>
        </w:numPr>
        <w:spacing w:lineRule="auto" w:line="480"/>
        <w:jc w:val="start"/>
        <w:rPr>
          <w:rFonts w:ascii="Century Schoolbook" w:hAnsi="Century Schoolbook" w:cs="Century Schoolbook"/>
          <w:sz w:val="22"/>
        </w:rPr>
      </w:pPr>
      <w:r>
        <w:rPr>
          <w:rFonts w:cs="Century Schoolbook" w:ascii="Century Schoolbook" w:hAnsi="Century Schoolbook"/>
          <w:sz w:val="22"/>
        </w:rPr>
        <w:t>Sheltering Basics</w:t>
      </w:r>
    </w:p>
    <w:p>
      <w:pPr>
        <w:pStyle w:val="Heading"/>
        <w:spacing w:lineRule="auto" w:line="480"/>
        <w:jc w:val="start"/>
        <w:rPr>
          <w:rFonts w:ascii="Century Schoolbook" w:hAnsi="Century Schoolbook" w:cs="Century Schoolbook"/>
          <w:sz w:val="22"/>
        </w:rPr>
      </w:pPr>
      <w:r>
        <w:rPr>
          <w:rFonts w:cs="Century Schoolbook" w:ascii="Century Schoolbook" w:hAnsi="Century Schoolbook"/>
          <w:sz w:val="22"/>
        </w:rPr>
        <w:t>V.</w:t>
        <w:tab/>
        <w:t>Redispatch and Curtailment Procedures</w:t>
      </w:r>
    </w:p>
    <w:p>
      <w:pPr>
        <w:pStyle w:val="Heading"/>
        <w:spacing w:lineRule="auto" w:line="480"/>
        <w:jc w:val="start"/>
        <w:rPr>
          <w:rFonts w:ascii="Century Schoolbook" w:hAnsi="Century Schoolbook" w:cs="Century Schoolbook"/>
          <w:sz w:val="22"/>
        </w:rPr>
      </w:pPr>
      <w:r>
        <w:rPr>
          <w:rFonts w:cs="Century Schoolbook" w:ascii="Century Schoolbook" w:hAnsi="Century Schoolbook"/>
          <w:sz w:val="22"/>
        </w:rPr>
        <w:t>VI.</w:t>
        <w:tab/>
        <w:t xml:space="preserve">Available Transfer Capability Methodology </w:t>
      </w:r>
    </w:p>
    <w:p>
      <w:pPr>
        <w:pStyle w:val="Heading"/>
        <w:numPr>
          <w:ilvl w:val="0"/>
          <w:numId w:val="6"/>
        </w:numPr>
        <w:jc w:val="start"/>
        <w:rPr>
          <w:rFonts w:ascii="Century Schoolbook" w:hAnsi="Century Schoolbook" w:cs="Century Schoolbook"/>
          <w:sz w:val="22"/>
        </w:rPr>
      </w:pPr>
      <w:r>
        <w:rPr>
          <w:rFonts w:cs="Century Schoolbook" w:ascii="Century Schoolbook" w:hAnsi="Century Schoolbook"/>
          <w:sz w:val="22"/>
        </w:rPr>
        <w:t xml:space="preserve">Customer Load and Resource </w:t>
      </w:r>
      <w:r>
        <w:br w:type="page"/>
      </w:r>
    </w:p>
    <w:p>
      <w:pPr>
        <w:pStyle w:val="Normal"/>
        <w:ind w:firstLine="720" w:start="720" w:end="0"/>
        <w:rPr>
          <w:rFonts w:ascii="Century Schoolbook" w:hAnsi="Century Schoolbook" w:cs="Century Schoolbook"/>
          <w:b/>
          <w:sz w:val="22"/>
        </w:rPr>
      </w:pPr>
      <w:r>
        <w:rPr>
          <w:rFonts w:cs="Century Schoolbook"/>
          <w:b/>
          <w:sz w:val="22"/>
        </w:rPr>
      </w:r>
    </w:p>
    <w:p>
      <w:pPr>
        <w:pStyle w:val="Heading"/>
        <w:rPr>
          <w:rFonts w:ascii="Century Schoolbook" w:hAnsi="Century Schoolbook" w:cs="Century Schoolbook"/>
          <w:sz w:val="24"/>
        </w:rPr>
      </w:pPr>
      <w:r>
        <w:rPr>
          <w:rFonts w:cs="Century Schoolbook" w:ascii="Century Schoolbook" w:hAnsi="Century Schoolbook"/>
          <w:sz w:val="24"/>
        </w:rPr>
        <w:t>SECTION IV</w:t>
      </w:r>
    </w:p>
    <w:p>
      <w:pPr>
        <w:pStyle w:val="Heading"/>
        <w:rPr>
          <w:rFonts w:ascii="Century Schoolbook" w:hAnsi="Century Schoolbook" w:cs="Century Schoolbook"/>
          <w:sz w:val="24"/>
        </w:rPr>
      </w:pPr>
      <w:r>
        <w:rPr>
          <w:rFonts w:cs="Century Schoolbook" w:ascii="Century Schoolbook" w:hAnsi="Century Schoolbook"/>
          <w:sz w:val="24"/>
        </w:rPr>
        <w:t>Sheltering Basics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hanging="720" w:start="720" w:end="0"/>
        <w:rPr>
          <w:sz w:val="22"/>
        </w:rPr>
      </w:pPr>
      <w:r>
        <w:rPr>
          <w:sz w:val="22"/>
        </w:rPr>
        <w:t>1.</w:t>
        <w:tab/>
        <w:t xml:space="preserve">BPAT has been providing an after-the-fact service to its Transmission Customers where BPAT shelters hourly Non-Firm Service under the Transmission Customer’s unused firm capacity.  Effective October 1, 2001 BPAT will comply with Federal Energy Regulation Commission (FERC) Order 638, which requires hourly Non-Firm schedules on a secondary path that the customer intends to shelter under unused firm Reserved Capacity be identified separately from Hourly Non-Firm schedules on primary paths at the time of a schedule submission. 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hanging="720" w:start="720" w:end="0"/>
        <w:rPr>
          <w:sz w:val="22"/>
        </w:rPr>
      </w:pPr>
      <w:r>
        <w:rPr>
          <w:sz w:val="22"/>
        </w:rPr>
        <w:t>2.</w:t>
        <w:tab/>
        <w:t>Sheltering:  These terms are used interchangeably to define a Transmission Customer’s right to sheltering Secondary Hourly Non-Firm under unused firm Reserved Capacity (Integration Resources (IR) or Point-to-Point (PTP) transmission agreements), as discussed below: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hanging="720" w:start="2160" w:end="0"/>
        <w:rPr>
          <w:sz w:val="22"/>
        </w:rPr>
      </w:pPr>
      <w:r>
        <w:rPr>
          <w:sz w:val="22"/>
        </w:rPr>
        <w:t>(a)</w:t>
        <w:tab/>
        <w:t xml:space="preserve">Firm PTP and IR Network transmission service can only be used (scheduled) only on the path and in the direction for which it was reserved. </w:t>
      </w:r>
    </w:p>
    <w:p>
      <w:pPr>
        <w:pStyle w:val="Normal"/>
        <w:ind w:hanging="720" w:start="2160" w:end="0"/>
        <w:rPr>
          <w:sz w:val="22"/>
        </w:rPr>
      </w:pPr>
      <w:r>
        <w:rPr>
          <w:sz w:val="22"/>
        </w:rPr>
      </w:r>
    </w:p>
    <w:p>
      <w:pPr>
        <w:pStyle w:val="Normal"/>
        <w:ind w:hanging="720" w:start="2160" w:end="0"/>
        <w:rPr>
          <w:sz w:val="22"/>
        </w:rPr>
      </w:pPr>
      <w:r>
        <w:rPr>
          <w:sz w:val="22"/>
        </w:rPr>
        <w:t>(b)</w:t>
        <w:tab/>
        <w:t xml:space="preserve">Secondary Hourly Non-Firm Service is the only transmission product that can be sheltered under Long-Term Firm and Short-Term Firm PTP capacity.  </w:t>
      </w:r>
    </w:p>
    <w:p>
      <w:pPr>
        <w:pStyle w:val="Normal"/>
        <w:tabs>
          <w:tab w:val="clear" w:pos="720"/>
          <w:tab w:val="left" w:pos="1440" w:leader="none"/>
        </w:tabs>
        <w:ind w:hanging="1440" w:start="2160" w:end="0"/>
        <w:rPr>
          <w:sz w:val="22"/>
        </w:rPr>
      </w:pPr>
      <w:r>
        <w:rPr>
          <w:sz w:val="22"/>
        </w:rPr>
        <w:tab/>
      </w:r>
    </w:p>
    <w:p>
      <w:pPr>
        <w:pStyle w:val="Normal"/>
        <w:tabs>
          <w:tab w:val="clear" w:pos="720"/>
          <w:tab w:val="left" w:pos="1440" w:leader="none"/>
        </w:tabs>
        <w:ind w:hanging="1440" w:start="2160" w:end="0"/>
        <w:rPr>
          <w:sz w:val="22"/>
        </w:rPr>
      </w:pPr>
      <w:r>
        <w:rPr>
          <w:sz w:val="22"/>
        </w:rPr>
        <w:tab/>
        <w:t>(c)</w:t>
        <w:tab/>
        <w:t>Secondary Hourly Non-Firm Service can not be sheltered under short-term Non-Firm or Hourly Firm Transmission Service under any conditions.</w:t>
      </w:r>
    </w:p>
    <w:p>
      <w:pPr>
        <w:pStyle w:val="Normal"/>
        <w:ind w:hanging="720" w:start="2160" w:end="0"/>
        <w:rPr>
          <w:sz w:val="22"/>
        </w:rPr>
      </w:pPr>
      <w:r>
        <w:rPr>
          <w:sz w:val="22"/>
        </w:rPr>
      </w:r>
    </w:p>
    <w:p>
      <w:pPr>
        <w:pStyle w:val="Normal"/>
        <w:ind w:hanging="720" w:start="2160" w:end="0"/>
        <w:rPr>
          <w:sz w:val="22"/>
        </w:rPr>
      </w:pPr>
      <w:r>
        <w:rPr>
          <w:sz w:val="22"/>
        </w:rPr>
        <w:t>(d)</w:t>
        <w:tab/>
        <w:t xml:space="preserve">Secondary Hourly Non-Firm Service on the Southern Intertie cannot be sheltered under firm Reserved Capacity on the Network. </w:t>
      </w:r>
    </w:p>
    <w:p>
      <w:pPr>
        <w:pStyle w:val="Normal"/>
        <w:ind w:hanging="720" w:start="2160" w:end="0"/>
        <w:rPr>
          <w:sz w:val="22"/>
        </w:rPr>
      </w:pPr>
      <w:r>
        <w:rPr>
          <w:sz w:val="22"/>
        </w:rPr>
      </w:r>
    </w:p>
    <w:p>
      <w:pPr>
        <w:pStyle w:val="Normal"/>
        <w:ind w:hanging="720" w:start="2160" w:end="0"/>
        <w:rPr>
          <w:sz w:val="22"/>
        </w:rPr>
      </w:pPr>
      <w:r>
        <w:rPr>
          <w:sz w:val="22"/>
        </w:rPr>
        <w:t>(e)</w:t>
        <w:tab/>
        <w:t xml:space="preserve">Secondary Hourly Non-Firm Service on the Network cannot be sheltered under firm Reserved Capacity on the Southern Intertie. 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Secondary Hourly Non-Firm Service on the AC Southern Intertie can be sheltered under firm Reserved Capacity on the DC Southern Intertie.</w:t>
      </w:r>
    </w:p>
    <w:p>
      <w:pPr>
        <w:pStyle w:val="Normal"/>
        <w:ind w:hanging="720" w:start="2160" w:end="0"/>
        <w:rPr>
          <w:sz w:val="22"/>
        </w:rPr>
      </w:pPr>
      <w:r>
        <w:rPr>
          <w:sz w:val="22"/>
        </w:rPr>
      </w:r>
    </w:p>
    <w:p>
      <w:pPr>
        <w:pStyle w:val="Normal"/>
        <w:ind w:hanging="720" w:start="2160" w:end="0"/>
        <w:rPr>
          <w:sz w:val="22"/>
        </w:rPr>
      </w:pPr>
      <w:r>
        <w:rPr>
          <w:sz w:val="22"/>
        </w:rPr>
        <w:t>(g)</w:t>
        <w:tab/>
        <w:t>Secondary Hourly Non-Firm Service on the DC Southern Intertie can be sheltered under firm Reserved Capacity on the AC Southern Intertie.</w:t>
      </w:r>
    </w:p>
    <w:p>
      <w:pPr>
        <w:pStyle w:val="Normal"/>
        <w:ind w:hanging="720" w:start="2160" w:end="0"/>
        <w:rPr>
          <w:sz w:val="22"/>
        </w:rPr>
      </w:pPr>
      <w:r>
        <w:rPr>
          <w:sz w:val="22"/>
        </w:rPr>
      </w:r>
    </w:p>
    <w:p>
      <w:pPr>
        <w:pStyle w:val="Normal"/>
        <w:ind w:hanging="720" w:start="2160" w:end="0"/>
        <w:rPr>
          <w:sz w:val="22"/>
        </w:rPr>
      </w:pPr>
      <w:r>
        <w:rPr>
          <w:sz w:val="22"/>
        </w:rPr>
        <w:t>(h)</w:t>
        <w:tab/>
        <w:t>Secondary Hourly Non-Firm Service may not be sheltered under firm Reserved Capacity when the Transmission Customer purchased the firm Reserved Capacity at a discounted rate.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If sheltering occurs under unused firm PTP capacity where a Short Distance Discount (SDD) has been allowed the Transmission Customer loses the SDD for the entire calendar month regardless of how many hours the sheltering occurred for that month.  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(j)</w:t>
        <w:tab/>
        <w:t>The sheltering will occur as follows: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If the Transmission Customer has an IR agreement, BPAT will shelter under that agreement before sheltering under a PTP Service Agreement.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BPAT will shelter Real Power Losses prior to sheltering secondary Hourly Non-Firm transmission schedules under unused Firm PTP Reserved Capacity. </w:t>
      </w:r>
    </w:p>
    <w:p>
      <w:pPr>
        <w:pStyle w:val="Normal"/>
        <w:ind w:start="2880" w:end="0"/>
        <w:rPr>
          <w:sz w:val="22"/>
        </w:rPr>
      </w:pPr>
      <w:r>
        <w:rPr>
          <w:sz w:val="22"/>
        </w:rPr>
      </w:r>
    </w:p>
    <w:p>
      <w:pPr>
        <w:pStyle w:val="BodyTextIndent"/>
        <w:numPr>
          <w:ilvl w:val="0"/>
          <w:numId w:val="3"/>
        </w:numPr>
        <w:rPr>
          <w:rFonts w:ascii="Century Schoolbook" w:hAnsi="Century Schoolbook" w:cs="Century Schoolbook"/>
          <w:sz w:val="22"/>
        </w:rPr>
      </w:pPr>
      <w:r>
        <w:rPr>
          <w:rFonts w:cs="Century Schoolbook" w:ascii="Century Schoolbook" w:hAnsi="Century Schoolbook"/>
          <w:sz w:val="22"/>
        </w:rPr>
        <w:t xml:space="preserve">After sheltering secondary Hourly Non-Firm transmission schedules under the Transmission Customer’s IR agreement, if any, BPAT will shelter under Short-Term Firm PTP Transmission.  If the Transmission Customer has insufficient unused Short-Term Firm PTP Transmission Service, BPAT will shelter secondary Hourly Non-Firm transmission schedules under Long-Term Firm PTP Transmission Service not subject to an SDD or discounted rate. </w:t>
      </w:r>
      <w:r>
        <w:rPr>
          <w:rFonts w:cs="Century Schoolbook" w:ascii="Century Schoolbook" w:hAnsi="Century Schoolbook"/>
          <w:i/>
          <w:sz w:val="22"/>
        </w:rPr>
        <w:t xml:space="preserve"> </w:t>
      </w:r>
    </w:p>
    <w:p>
      <w:pPr>
        <w:pStyle w:val="Normal"/>
        <w:tabs>
          <w:tab w:val="clear" w:pos="720"/>
          <w:tab w:val="left" w:pos="1440" w:leader="none"/>
        </w:tabs>
        <w:ind w:hanging="720" w:start="2880" w:end="0"/>
        <w:rPr>
          <w:rFonts w:ascii="Century Schoolbook" w:hAnsi="Century Schoolbook" w:cs="Century Schoolbook"/>
          <w:sz w:val="22"/>
        </w:rPr>
      </w:pPr>
      <w:r>
        <w:rPr>
          <w:rFonts w:cs="Century Schoolbook"/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BPAT will shelter any remaining secondary Hourly Non-Firm schedules under Long-Term Firm PTP Transmission Service with an SDD (loss of the SDD for the month results).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BPAT will shelter under firm Reserved Capacity used for Dynamic Schedules as follows: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440" w:leader="none"/>
        </w:tabs>
        <w:ind w:hanging="720" w:start="3600" w:end="0"/>
        <w:rPr>
          <w:sz w:val="22"/>
        </w:rPr>
      </w:pPr>
      <w:r>
        <w:rPr>
          <w:sz w:val="22"/>
        </w:rPr>
        <w:t>Let:</w:t>
      </w:r>
    </w:p>
    <w:p>
      <w:pPr>
        <w:pStyle w:val="Normal"/>
        <w:tabs>
          <w:tab w:val="clear" w:pos="720"/>
          <w:tab w:val="left" w:pos="1440" w:leader="none"/>
        </w:tabs>
        <w:ind w:hanging="720" w:start="3600" w:end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2160" w:leader="none"/>
        </w:tabs>
        <w:ind w:hanging="720" w:start="3600" w:end="0"/>
        <w:rPr>
          <w:sz w:val="22"/>
        </w:rPr>
      </w:pPr>
      <w:r>
        <w:rPr>
          <w:sz w:val="22"/>
        </w:rPr>
        <w:t>A = 10-minute integrated usage, Dynamic Schedule</w:t>
      </w:r>
    </w:p>
    <w:p>
      <w:pPr>
        <w:pStyle w:val="Normal"/>
        <w:tabs>
          <w:tab w:val="clear" w:pos="720"/>
          <w:tab w:val="left" w:pos="1440" w:leader="none"/>
        </w:tabs>
        <w:ind w:hanging="720" w:start="3600" w:end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440" w:leader="none"/>
        </w:tabs>
        <w:ind w:hanging="720" w:start="3600" w:end="0"/>
        <w:rPr>
          <w:sz w:val="22"/>
        </w:rPr>
      </w:pPr>
      <w:r>
        <w:rPr>
          <w:sz w:val="22"/>
        </w:rPr>
        <w:t>B = Maximum capacity – contract or reservation</w:t>
      </w:r>
    </w:p>
    <w:p>
      <w:pPr>
        <w:pStyle w:val="Normal"/>
        <w:tabs>
          <w:tab w:val="clear" w:pos="720"/>
          <w:tab w:val="left" w:pos="1440" w:leader="none"/>
        </w:tabs>
        <w:ind w:hanging="720" w:start="3600" w:end="0"/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clear" w:pos="720"/>
          <w:tab w:val="left" w:pos="1890" w:leader="none"/>
        </w:tabs>
        <w:ind w:hanging="450" w:start="3330" w:end="0"/>
        <w:rPr>
          <w:rFonts w:ascii="Century Schoolbook" w:hAnsi="Century Schoolbook" w:cs="Century Schoolbook"/>
          <w:sz w:val="22"/>
        </w:rPr>
      </w:pPr>
      <w:r>
        <w:rPr>
          <w:rFonts w:cs="Century Schoolbook" w:ascii="Century Schoolbook" w:hAnsi="Century Schoolbook"/>
          <w:sz w:val="22"/>
        </w:rPr>
        <w:t>C = Remaining amount of secondary Hourly Non-Firm transmission usage after sheltering under all Short-Term and Long-Term Firm PTP capacity that is not being used for Dynamic Schedules.</w:t>
      </w:r>
    </w:p>
    <w:p>
      <w:pPr>
        <w:pStyle w:val="Normal"/>
        <w:ind w:hanging="720" w:start="2880" w:end="0"/>
        <w:rPr>
          <w:rFonts w:ascii="Century Schoolbook" w:hAnsi="Century Schoolbook" w:cs="Century Schoolbook"/>
          <w:sz w:val="22"/>
        </w:rPr>
      </w:pPr>
      <w:r>
        <w:rPr>
          <w:rFonts w:cs="Century Schoolbook"/>
          <w:sz w:val="22"/>
        </w:rPr>
      </w:r>
    </w:p>
    <w:p>
      <w:pPr>
        <w:pStyle w:val="Normal"/>
        <w:ind w:hanging="720" w:start="3600" w:end="0"/>
        <w:rPr>
          <w:sz w:val="22"/>
        </w:rPr>
      </w:pPr>
      <w:r>
        <w:rPr>
          <w:sz w:val="22"/>
        </w:rPr>
        <w:t>Dynamic Sheltering Determination:</w:t>
      </w:r>
    </w:p>
    <w:p>
      <w:pPr>
        <w:pStyle w:val="Normal"/>
        <w:ind w:hanging="720" w:start="360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720" w:start="3600" w:end="0"/>
        <w:rPr>
          <w:sz w:val="22"/>
        </w:rPr>
      </w:pPr>
      <w:r>
        <w:rPr>
          <w:sz w:val="22"/>
        </w:rPr>
        <w:t>Preschedule and after-the-fact information will be provided by the Transmission Customer on a daily basis.</w:t>
      </w:r>
    </w:p>
    <w:p>
      <w:pPr>
        <w:pStyle w:val="Normal"/>
        <w:ind w:start="288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720" w:start="3600" w:end="0"/>
        <w:rPr>
          <w:sz w:val="22"/>
        </w:rPr>
      </w:pPr>
      <w:r>
        <w:rPr>
          <w:sz w:val="22"/>
        </w:rPr>
        <w:t>The amount that can be sheltered under unused firm capacity used for Dynamic Schedules is B – A.</w:t>
      </w:r>
    </w:p>
    <w:p>
      <w:pPr>
        <w:pStyle w:val="Normal"/>
        <w:ind w:hanging="720" w:start="360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720" w:start="3600" w:end="0"/>
        <w:rPr>
          <w:sz w:val="22"/>
        </w:rPr>
      </w:pPr>
      <w:r>
        <w:rPr>
          <w:sz w:val="22"/>
        </w:rPr>
        <w:t>The unauthorized increase determination is based on if (A + C) &gt; B.</w:t>
      </w:r>
    </w:p>
    <w:p>
      <w:pPr>
        <w:pStyle w:val="Normal"/>
        <w:ind w:hanging="720" w:start="360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720" w:start="3600" w:end="0"/>
        <w:rPr>
          <w:sz w:val="22"/>
        </w:rPr>
      </w:pPr>
      <w:r>
        <w:rPr>
          <w:sz w:val="22"/>
        </w:rPr>
        <w:t xml:space="preserve">BPAT cannot notify Transmission Customers concerning unauthorized increases influenced by Dynamic Schedules since the amounts are not known until after-the-fact.  </w:t>
      </w:r>
    </w:p>
    <w:sectPr>
      <w:footerReference w:type="default" r:id="rId4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 Schoolboo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1"/>
      <w:numFmt w:val="decimal"/>
      <w:lvlText w:val="(%1)"/>
      <w:lvlJc w:val="start"/>
      <w:pPr>
        <w:tabs>
          <w:tab w:val="num" w:pos="2880"/>
        </w:tabs>
        <w:ind w:start="2880" w:hanging="720"/>
      </w:pPr>
      <w:rPr/>
    </w:lvl>
  </w:abstractNum>
  <w:abstractNum w:abstractNumId="4">
    <w:lvl w:ilvl="0">
      <w:start w:val="1"/>
      <w:numFmt w:val="lowerRoman"/>
      <w:lvlText w:val="(%1)"/>
      <w:lvlJc w:val="start"/>
      <w:pPr>
        <w:tabs>
          <w:tab w:val="num" w:pos="2160"/>
        </w:tabs>
        <w:ind w:start="2160" w:hanging="720"/>
      </w:pPr>
      <w:rPr/>
    </w:lvl>
  </w:abstractNum>
  <w:abstractNum w:abstractNumId="5">
    <w:lvl w:ilvl="0">
      <w:start w:val="6"/>
      <w:numFmt w:val="lowerLetter"/>
      <w:lvlText w:val="(%1)"/>
      <w:lvlJc w:val="start"/>
      <w:pPr>
        <w:tabs>
          <w:tab w:val="num" w:pos="2160"/>
        </w:tabs>
        <w:ind w:start="2160" w:hanging="720"/>
      </w:pPr>
      <w:rPr/>
    </w:lvl>
  </w:abstractNum>
  <w:abstractNum w:abstractNumId="6">
    <w:lvl w:ilvl="0">
      <w:start w:val="7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7">
    <w:lvl w:ilvl="0">
      <w:start w:val="1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2"/>
      <w:numFmt w:val="decimal"/>
      <w:lvlText w:val="%1.%2"/>
      <w:lvlJc w:val="start"/>
      <w:pPr>
        <w:tabs>
          <w:tab w:val="num" w:pos="2160"/>
        </w:tabs>
        <w:ind w:start="216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3600"/>
        </w:tabs>
        <w:ind w:start="360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5040"/>
        </w:tabs>
        <w:ind w:start="504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6840"/>
        </w:tabs>
        <w:ind w:start="684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8280"/>
        </w:tabs>
        <w:ind w:start="82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0080"/>
        </w:tabs>
        <w:ind w:start="1008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1520"/>
        </w:tabs>
        <w:ind w:start="1152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3320"/>
        </w:tabs>
        <w:ind w:start="13320" w:hanging="1800"/>
      </w:pPr>
      <w:rPr/>
    </w:lvl>
  </w:abstractNum>
  <w:abstractNum w:abstractNumId="8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isLgl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2"/>
      <w:isLgl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2"/>
      <w:isLgl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isLgl/>
      <w:numFmt w:val="decimal"/>
      <w:lvlText w:val="%1.%2.%3.%4.%5"/>
      <w:lvlJc w:val="start"/>
      <w:pPr>
        <w:tabs>
          <w:tab w:val="num" w:pos="1080"/>
        </w:tabs>
        <w:ind w:start="1080" w:hanging="1080"/>
      </w:pPr>
      <w:rPr/>
    </w:lvl>
    <w:lvl w:ilvl="5">
      <w:start w:val="1"/>
      <w:isLgl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isLgl/>
      <w:numFmt w:val="decimal"/>
      <w:lvlText w:val="%1.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isLgl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isLgl/>
      <w:numFmt w:val="decimal"/>
      <w:lvlText w:val="%1.%2.%3.%4.%5.%6.%7.%8.%9"/>
      <w:lvlJc w:val="start"/>
      <w:pPr>
        <w:tabs>
          <w:tab w:val="num" w:pos="1800"/>
        </w:tabs>
        <w:ind w:star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entury Schoolbook" w:hAnsi="Century Schoolbook" w:eastAsia="Times New Roman" w:cs="Century Schoolbook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480"/>
      <w:outlineLvl w:val="0"/>
    </w:pPr>
    <w:rPr>
      <w:rFonts w:ascii="Times New Roman" w:hAnsi="Times New Roman" w:cs="Times New Roman"/>
      <w:b/>
    </w:rPr>
  </w:style>
  <w:style w:type="paragraph" w:styleId="Heading3">
    <w:name w:val="heading 3"/>
    <w:basedOn w:val="Normal"/>
    <w:next w:val="Normal"/>
    <w:qFormat/>
    <w:pPr>
      <w:keepNext w:val="true"/>
      <w:tabs>
        <w:tab w:val="clear" w:pos="720"/>
        <w:tab w:val="left" w:pos="0" w:leader="none"/>
        <w:tab w:val="left" w:pos="360" w:leader="none"/>
        <w:tab w:val="left" w:pos="1080" w:leader="none"/>
        <w:tab w:val="left" w:pos="1800" w:leader="none"/>
        <w:tab w:val="left" w:pos="2520" w:leader="none"/>
        <w:tab w:val="left" w:pos="3240" w:leader="none"/>
        <w:tab w:val="left" w:pos="3960" w:leader="none"/>
        <w:tab w:val="left" w:pos="4680" w:leader="none"/>
        <w:tab w:val="left" w:pos="5400" w:leader="none"/>
        <w:tab w:val="left" w:pos="6120" w:leader="none"/>
        <w:tab w:val="left" w:pos="6840" w:leader="none"/>
        <w:tab w:val="left" w:pos="7560" w:leader="none"/>
        <w:tab w:val="left" w:pos="8280" w:leader="none"/>
      </w:tabs>
      <w:ind w:firstLine="360" w:start="0" w:end="0"/>
      <w:jc w:val="center"/>
      <w:outlineLvl w:val="2"/>
    </w:pPr>
    <w:rPr>
      <w:rFonts w:ascii="Times New Roman" w:hAnsi="Times New Roman" w:cs="Times New Roman"/>
      <w:sz w:val="26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imes New Roman" w:hAnsi="Times New Roman" w:cs="Times New Roman"/>
      <w:b/>
      <w:sz w:val="2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" w:end="0"/>
    </w:pPr>
    <w:rPr>
      <w:rFonts w:ascii="Times New Roman" w:hAnsi="Times New Roman" w:cs="Times New Roman"/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dalton@bpa.gove" TargetMode="External"/><Relationship Id="rId3" Type="http://schemas.openxmlformats.org/officeDocument/2006/relationships/hyperlink" Target="mailto:Jmcneilkeister@bpa.gov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2001-02-09T22:12:00Z</dcterms:created>
  <dc:creator>MAD0099</dc:creator>
  <dc:description/>
  <dc:language>en-CA</dc:language>
  <cp:lastModifiedBy>BPA</cp:lastModifiedBy>
  <cp:lastPrinted>2001-02-12T14:30:00Z</cp:lastPrinted>
  <dcterms:modified xsi:type="dcterms:W3CDTF">2001-02-21T14:14:00Z</dcterms:modified>
  <cp:revision>7</cp:revision>
  <dc:subject/>
  <dc:title>Bonneville Power Administration </dc:title>
</cp:coreProperties>
</file>