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b w:val="false"/>
        </w:rPr>
      </w:pPr>
      <w:r>
        <w:rPr>
          <w:b w:val="false"/>
        </w:rPr>
        <w:t>Agenda Item 22</w:t>
      </w:r>
    </w:p>
    <w:p>
      <w:pPr>
        <w:pStyle w:val="Normal"/>
        <w:jc w:val="end"/>
        <w:rPr>
          <w:rFonts w:ascii="Arial" w:hAnsi="Arial" w:cs="Arial"/>
          <w:sz w:val="22"/>
        </w:rPr>
      </w:pPr>
      <w:r>
        <w:rPr>
          <w:rFonts w:cs="Arial" w:ascii="Arial" w:hAnsi="Arial"/>
          <w:sz w:val="22"/>
        </w:rPr>
        <w:t>BOT Meeting</w:t>
      </w:r>
    </w:p>
    <w:p>
      <w:pPr>
        <w:pStyle w:val="Normal"/>
        <w:jc w:val="end"/>
        <w:rPr>
          <w:rFonts w:ascii="Arial" w:hAnsi="Arial" w:cs="Arial"/>
          <w:sz w:val="22"/>
        </w:rPr>
      </w:pPr>
      <w:r>
        <w:rPr>
          <w:rFonts w:cs="Arial" w:ascii="Arial" w:hAnsi="Arial"/>
          <w:sz w:val="22"/>
        </w:rPr>
        <w:t>October 16, 2001</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Composition of NERC Standing Committees</w:t>
      </w:r>
    </w:p>
    <w:p>
      <w:pPr>
        <w:pStyle w:val="Normal"/>
        <w:rPr>
          <w:rFonts w:ascii="Arial" w:hAnsi="Arial" w:cs="Arial"/>
          <w:b/>
          <w:bCs/>
          <w:sz w:val="22"/>
        </w:rPr>
      </w:pPr>
      <w:r>
        <w:rPr>
          <w:rFonts w:cs="Arial" w:ascii="Arial" w:hAnsi="Arial"/>
          <w:b/>
          <w:bCs/>
          <w:sz w:val="22"/>
        </w:rPr>
      </w:r>
    </w:p>
    <w:p>
      <w:pPr>
        <w:pStyle w:val="BodyText2"/>
        <w:rPr/>
      </w:pPr>
      <w:r>
        <w:rPr>
          <w:b/>
          <w:bCs/>
        </w:rPr>
        <w:t>Action:</w:t>
      </w:r>
      <w:r>
        <w:rPr/>
        <w:tab/>
        <w:t>Approve Initial Recommendations.</w:t>
      </w:r>
    </w:p>
    <w:p>
      <w:pPr>
        <w:pStyle w:val="BodyText2"/>
        <w:rPr/>
      </w:pPr>
      <w:r>
        <w:rPr/>
      </w:r>
    </w:p>
    <w:p>
      <w:pPr>
        <w:pStyle w:val="BodyText"/>
        <w:rPr/>
      </w:pPr>
      <w:r>
        <w:rPr/>
        <w:t>The Task Force has reached agreement on the following initial recommendations regarding the composition and voting of NERC/NAERO Standing Committees:</w:t>
      </w:r>
    </w:p>
    <w:p>
      <w:pPr>
        <w:pStyle w:val="Normal"/>
        <w:rPr>
          <w:rFonts w:ascii="Arial" w:hAnsi="Arial" w:cs="Arial"/>
          <w:sz w:val="22"/>
        </w:rPr>
      </w:pPr>
      <w:r>
        <w:rPr>
          <w:rFonts w:cs="Arial" w:ascii="Arial" w:hAnsi="Arial"/>
          <w:sz w:val="22"/>
        </w:rPr>
      </w:r>
    </w:p>
    <w:p>
      <w:pPr>
        <w:pStyle w:val="Normal"/>
        <w:numPr>
          <w:ilvl w:val="0"/>
          <w:numId w:val="2"/>
        </w:numPr>
        <w:autoSpaceDE w:val="false"/>
        <w:ind w:hanging="720" w:start="720" w:end="0"/>
        <w:rPr>
          <w:rFonts w:ascii="Arial" w:hAnsi="Arial" w:cs="Arial"/>
          <w:sz w:val="22"/>
          <w:szCs w:val="22"/>
        </w:rPr>
      </w:pPr>
      <w:r>
        <w:rPr>
          <w:rFonts w:cs="Arial" w:ascii="Arial" w:hAnsi="Arial"/>
          <w:b/>
          <w:bCs/>
          <w:sz w:val="22"/>
        </w:rPr>
        <w:t>Committee Representation</w:t>
      </w:r>
      <w:r>
        <w:rPr>
          <w:rFonts w:cs="Arial" w:ascii="Arial" w:hAnsi="Arial"/>
          <w:sz w:val="22"/>
        </w:rPr>
        <w:t xml:space="preserve"> </w:t>
        <w:softHyphen/>
        <w:t xml:space="preserve">– </w:t>
      </w:r>
      <w:r>
        <w:rPr>
          <w:rFonts w:cs="Arial" w:ascii="Arial" w:hAnsi="Arial"/>
          <w:sz w:val="22"/>
          <w:szCs w:val="22"/>
        </w:rPr>
        <w:t>The Task Force recommends that the NERC Board direct the Standing Committees to modify the Standing Committee representation and voting to reflect the Task Force’s attached “Initial Sectors and Criteria Model.”  This Model is based on the Task Force's preference for representation by “sector,” and incorporates the Task Force’s general recognition that an RTO sector should be included.  The Task Force recognizes that some work remains to be done to refine the definitions of each sector and the criteria for belonging, but believes that the Initial Sectors and Criteria Model is an appropriate next step and should be taken immediately.  Assuming that it may take some months to put in place the details of the new Model, including the new weighted voting procedures, the Task Force recommends that two ISO/RTO representatives be added immediately to each of the existing standing committees to provide formal representation and a voting role for ISOs/RTOs until the Initial Sectors and Criteria Model has been implemented.</w:t>
      </w:r>
    </w:p>
    <w:p>
      <w:pPr>
        <w:pStyle w:val="Normal"/>
        <w:autoSpaceDE w:val="false"/>
        <w:ind w:hanging="720" w:start="360" w:end="0"/>
        <w:rPr>
          <w:rFonts w:ascii="Arial" w:hAnsi="Arial" w:cs="Arial"/>
          <w:sz w:val="22"/>
          <w:szCs w:val="22"/>
        </w:rPr>
      </w:pPr>
      <w:r>
        <w:rPr>
          <w:rFonts w:cs="Arial" w:ascii="Arial" w:hAnsi="Arial"/>
          <w:sz w:val="22"/>
          <w:szCs w:val="22"/>
        </w:rPr>
      </w:r>
    </w:p>
    <w:p>
      <w:pPr>
        <w:pStyle w:val="Normal"/>
        <w:numPr>
          <w:ilvl w:val="0"/>
          <w:numId w:val="2"/>
        </w:numPr>
        <w:autoSpaceDE w:val="false"/>
        <w:ind w:hanging="720" w:start="720" w:end="0"/>
        <w:rPr>
          <w:rFonts w:ascii="Arial" w:hAnsi="Arial" w:cs="Arial"/>
          <w:sz w:val="22"/>
        </w:rPr>
      </w:pPr>
      <w:r>
        <w:rPr>
          <w:rFonts w:cs="Arial" w:ascii="Arial" w:hAnsi="Arial"/>
          <w:b/>
          <w:bCs/>
          <w:sz w:val="22"/>
        </w:rPr>
        <w:t>Committee Participation and Voting</w:t>
      </w:r>
      <w:r>
        <w:rPr>
          <w:rFonts w:cs="Arial" w:ascii="Arial" w:hAnsi="Arial"/>
          <w:sz w:val="22"/>
        </w:rPr>
        <w:t xml:space="preserve"> – The Task Force recommends open participation in each sector, subject to certain criteria and qualifications.  The Task Force has evaluated the qualification criteria and voting procedures used in several regions (ERCOT and MAAC), and has incorporated features of those procedures into the recommended participation and voting procedures.  Specifically, the Task Force recommends weighted voting by and within each sector, similar to what is done in MAAC.</w:t>
      </w:r>
    </w:p>
    <w:p>
      <w:pPr>
        <w:pStyle w:val="Normal"/>
        <w:autoSpaceDE w:val="false"/>
        <w:rPr>
          <w:rFonts w:ascii="Arial" w:hAnsi="Arial" w:cs="Arial"/>
          <w:b/>
          <w:bCs/>
          <w:sz w:val="22"/>
        </w:rPr>
      </w:pPr>
      <w:r>
        <w:rPr>
          <w:rFonts w:cs="Arial" w:ascii="Arial" w:hAnsi="Arial"/>
          <w:b/>
          <w:bCs/>
          <w:sz w:val="22"/>
        </w:rPr>
      </w:r>
    </w:p>
    <w:p>
      <w:pPr>
        <w:pStyle w:val="Normal"/>
        <w:numPr>
          <w:ilvl w:val="0"/>
          <w:numId w:val="2"/>
        </w:numPr>
        <w:autoSpaceDE w:val="false"/>
        <w:ind w:hanging="720" w:start="720" w:end="0"/>
        <w:rPr>
          <w:rFonts w:ascii="Arial" w:hAnsi="Arial" w:cs="Arial"/>
          <w:sz w:val="22"/>
        </w:rPr>
      </w:pPr>
      <w:r>
        <w:rPr>
          <w:rFonts w:cs="Arial" w:ascii="Arial" w:hAnsi="Arial"/>
          <w:b/>
          <w:bCs/>
          <w:sz w:val="22"/>
        </w:rPr>
        <w:t>Due Process</w:t>
      </w:r>
      <w:r>
        <w:rPr>
          <w:rFonts w:cs="Arial" w:ascii="Arial" w:hAnsi="Arial"/>
          <w:sz w:val="22"/>
        </w:rPr>
        <w:t xml:space="preserve"> – The new Organization Standards Process, which will be presented to the Board in October, addresses most due process issues and concerns.  The Task Force recommends implementing this new process immediately.</w:t>
      </w:r>
    </w:p>
    <w:p>
      <w:pPr>
        <w:pStyle w:val="Normal"/>
        <w:autoSpaceDE w:val="false"/>
        <w:rPr>
          <w:rFonts w:ascii="Arial" w:hAnsi="Arial" w:cs="Arial"/>
          <w:b/>
          <w:bCs/>
          <w:sz w:val="22"/>
        </w:rPr>
      </w:pPr>
      <w:r>
        <w:rPr>
          <w:rFonts w:cs="Arial" w:ascii="Arial" w:hAnsi="Arial"/>
          <w:b/>
          <w:bCs/>
          <w:sz w:val="22"/>
        </w:rPr>
      </w:r>
    </w:p>
    <w:p>
      <w:pPr>
        <w:pStyle w:val="Normal"/>
        <w:numPr>
          <w:ilvl w:val="0"/>
          <w:numId w:val="2"/>
        </w:numPr>
        <w:autoSpaceDE w:val="false"/>
        <w:ind w:hanging="720" w:start="720" w:end="0"/>
        <w:rPr>
          <w:rFonts w:ascii="Arial" w:hAnsi="Arial" w:cs="Arial"/>
          <w:sz w:val="22"/>
        </w:rPr>
      </w:pPr>
      <w:r>
        <w:rPr>
          <w:rFonts w:cs="Arial" w:ascii="Arial" w:hAnsi="Arial"/>
          <w:b/>
          <w:bCs/>
          <w:sz w:val="22"/>
        </w:rPr>
        <w:t>One-Stop Shop</w:t>
      </w:r>
      <w:r>
        <w:rPr>
          <w:rFonts w:cs="Arial" w:ascii="Arial" w:hAnsi="Arial"/>
          <w:sz w:val="22"/>
        </w:rPr>
        <w:t xml:space="preserve"> – The Task Force favors having a single organization for developing Reliability Standards, Market Interface Practices, and Commercial Practices.  The Task Force believes that NERC has an opportunity to reinvent itself to become this organization, and should take definitive steps in that direction at its October 2001 meetings.</w:t>
      </w:r>
    </w:p>
    <w:p>
      <w:pPr>
        <w:pStyle w:val="Normal"/>
        <w:autoSpaceDE w:val="false"/>
        <w:rPr>
          <w:rFonts w:ascii="Arial" w:hAnsi="Arial" w:cs="Arial"/>
          <w:b/>
          <w:bCs/>
          <w:sz w:val="22"/>
        </w:rPr>
      </w:pPr>
      <w:r>
        <w:rPr>
          <w:rFonts w:cs="Arial" w:ascii="Arial" w:hAnsi="Arial"/>
          <w:b/>
          <w:bCs/>
          <w:sz w:val="22"/>
        </w:rPr>
      </w:r>
    </w:p>
    <w:p>
      <w:pPr>
        <w:pStyle w:val="Normal"/>
        <w:numPr>
          <w:ilvl w:val="0"/>
          <w:numId w:val="2"/>
        </w:numPr>
        <w:autoSpaceDE w:val="false"/>
        <w:ind w:hanging="720" w:start="720" w:end="0"/>
        <w:rPr>
          <w:rFonts w:ascii="Arial" w:hAnsi="Arial" w:cs="Arial"/>
          <w:sz w:val="22"/>
        </w:rPr>
      </w:pPr>
      <w:r>
        <w:rPr>
          <w:rFonts w:cs="Arial" w:ascii="Arial" w:hAnsi="Arial"/>
          <w:b/>
          <w:bCs/>
          <w:sz w:val="22"/>
        </w:rPr>
        <w:t xml:space="preserve">Funding </w:t>
      </w:r>
      <w:r>
        <w:rPr>
          <w:rFonts w:cs="Arial" w:ascii="Arial" w:hAnsi="Arial"/>
          <w:sz w:val="22"/>
        </w:rPr>
        <w:t>– The Task Force recommends that steps be taken immediately to decouple the funding of NERC from the Regional Reliability Councils.  The Funding Task Group recommendations, adopted by the Board in February 2001, should be pursued.</w:t>
      </w:r>
    </w:p>
    <w:p>
      <w:pPr>
        <w:pStyle w:val="Normal"/>
        <w:autoSpaceDE w:val="false"/>
        <w:rPr>
          <w:rFonts w:ascii="Arial" w:hAnsi="Arial" w:cs="Arial"/>
          <w:b/>
          <w:bCs/>
          <w:sz w:val="22"/>
        </w:rPr>
      </w:pPr>
      <w:r>
        <w:rPr>
          <w:rFonts w:cs="Arial" w:ascii="Arial" w:hAnsi="Arial"/>
          <w:b/>
          <w:bCs/>
          <w:sz w:val="22"/>
        </w:rPr>
      </w:r>
    </w:p>
    <w:p>
      <w:pPr>
        <w:pStyle w:val="Normal"/>
        <w:numPr>
          <w:ilvl w:val="0"/>
          <w:numId w:val="2"/>
        </w:numPr>
        <w:autoSpaceDE w:val="false"/>
        <w:ind w:hanging="720" w:start="720" w:end="0"/>
        <w:rPr>
          <w:rFonts w:ascii="Arial" w:hAnsi="Arial" w:cs="Arial"/>
          <w:sz w:val="22"/>
        </w:rPr>
      </w:pPr>
      <w:r>
        <w:rPr>
          <w:rFonts w:cs="Arial" w:ascii="Arial" w:hAnsi="Arial"/>
          <w:b/>
          <w:bCs/>
          <w:sz w:val="22"/>
        </w:rPr>
        <w:t>MIC Role in Standards Approval</w:t>
      </w:r>
      <w:r>
        <w:rPr>
          <w:rFonts w:cs="Arial" w:ascii="Arial" w:hAnsi="Arial"/>
          <w:sz w:val="22"/>
        </w:rPr>
        <w:t xml:space="preserve"> – The Task Force recommends, as an immediate step to address concerns with the current NERC Standards Approval Process, and to provide a “bridge” until the new Organization Standards process is implemented, requiring the MIC to vote on all new/proposed NERC Operating Policies and Planning Standards and report results to the Board, including consideration of any minority positions.</w:t>
      </w:r>
    </w:p>
    <w:p>
      <w:pPr>
        <w:pStyle w:val="BodyText2"/>
        <w:rPr>
          <w:rFonts w:ascii="Arial" w:hAnsi="Arial" w:cs="Arial"/>
          <w:sz w:val="22"/>
        </w:rPr>
      </w:pPr>
      <w:r>
        <w:rPr>
          <w:rFonts w:cs="Arial"/>
          <w:sz w:val="22"/>
        </w:rPr>
      </w:r>
    </w:p>
    <w:p>
      <w:pPr>
        <w:pStyle w:val="BodyText2"/>
        <w:rPr>
          <w:b/>
          <w:bCs/>
        </w:rPr>
      </w:pPr>
      <w:r>
        <w:rPr>
          <w:b/>
          <w:bCs/>
        </w:rPr>
        <w:t>Task Force Scope</w:t>
      </w:r>
    </w:p>
    <w:p>
      <w:pPr>
        <w:pStyle w:val="BodyText2"/>
        <w:rPr>
          <w:b/>
          <w:bCs/>
        </w:rPr>
      </w:pPr>
      <w:r>
        <w:rPr>
          <w:b/>
          <w:bCs/>
        </w:rPr>
      </w:r>
    </w:p>
    <w:p>
      <w:pPr>
        <w:pStyle w:val="BodyText2"/>
        <w:rPr/>
      </w:pPr>
      <w:r>
        <w:rPr/>
        <w:t>The Stakeholders Committee formed the Task Force and assigned it to:</w:t>
      </w:r>
    </w:p>
    <w:p>
      <w:pPr>
        <w:pStyle w:val="BodyText2"/>
        <w:rPr/>
      </w:pPr>
      <w:r>
        <w:rPr/>
      </w:r>
    </w:p>
    <w:p>
      <w:pPr>
        <w:pStyle w:val="BodyText2"/>
        <w:ind w:start="720" w:end="0"/>
        <w:rPr>
          <w:i/>
          <w:i/>
          <w:iCs/>
        </w:rPr>
      </w:pPr>
      <w:r>
        <w:rPr>
          <w:i/>
          <w:iCs/>
        </w:rPr>
        <w:t>Examine and prepare recommendations on the evolution of representation on NERC/NAERO standing committees, and their subgroups, including what “balance” means today and moving forward.</w:t>
      </w:r>
    </w:p>
    <w:p>
      <w:pPr>
        <w:pStyle w:val="Normal"/>
        <w:rPr>
          <w:rFonts w:ascii="Arial" w:hAnsi="Arial" w:cs="Arial"/>
          <w:i/>
          <w:i/>
          <w:iCs/>
          <w:sz w:val="22"/>
        </w:rPr>
      </w:pPr>
      <w:r>
        <w:rPr>
          <w:rFonts w:cs="Arial" w:ascii="Arial" w:hAnsi="Arial"/>
          <w:i/>
          <w:iCs/>
          <w:sz w:val="22"/>
        </w:rPr>
      </w:r>
    </w:p>
    <w:p>
      <w:pPr>
        <w:pStyle w:val="Normal"/>
        <w:rPr>
          <w:rFonts w:ascii="Arial" w:hAnsi="Arial" w:cs="Arial"/>
          <w:sz w:val="22"/>
        </w:rPr>
      </w:pPr>
      <w:r>
        <w:rPr>
          <w:rFonts w:cs="Arial" w:ascii="Arial" w:hAnsi="Arial"/>
          <w:sz w:val="22"/>
        </w:rPr>
        <w:t>These initial recommendations address a portion of that charge.  The Task Force intends to continue its work and report further recommendations as they are developed to the Stakeholders Committee and the Board.  This follow-on work will include recommendations on the representation of subgroups of the standing committees.</w:t>
      </w:r>
    </w:p>
    <w:p>
      <w:pPr>
        <w:pStyle w:val="Normal"/>
        <w:rPr>
          <w:rFonts w:ascii="Arial" w:hAnsi="Arial" w:cs="Arial"/>
          <w:sz w:val="22"/>
        </w:rPr>
      </w:pPr>
      <w:r>
        <w:rPr>
          <w:rFonts w:cs="Arial" w:ascii="Arial" w:hAnsi="Arial"/>
          <w:sz w:val="22"/>
        </w:rPr>
      </w:r>
    </w:p>
    <w:p>
      <w:pPr>
        <w:pStyle w:val="Heading2"/>
        <w:ind w:hanging="0" w:start="0"/>
        <w:rPr>
          <w:b/>
          <w:bCs/>
          <w:u w:val="none"/>
        </w:rPr>
      </w:pPr>
      <w:r>
        <w:rPr>
          <w:b/>
          <w:bCs/>
          <w:u w:val="none"/>
        </w:rPr>
        <w:t>Background</w:t>
      </w:r>
    </w:p>
    <w:p>
      <w:pPr>
        <w:pStyle w:val="Normal"/>
        <w:rPr>
          <w:rFonts w:ascii="Arial" w:hAnsi="Arial" w:cs="Arial"/>
          <w:b/>
          <w:bCs/>
          <w:sz w:val="22"/>
          <w:u w:val="none"/>
        </w:rPr>
      </w:pPr>
      <w:r>
        <w:rPr>
          <w:rFonts w:cs="Arial" w:ascii="Arial" w:hAnsi="Arial"/>
          <w:b/>
          <w:bCs/>
          <w:sz w:val="22"/>
          <w:u w:val="none"/>
        </w:rPr>
      </w:r>
    </w:p>
    <w:p>
      <w:pPr>
        <w:pStyle w:val="Normal"/>
        <w:tabs>
          <w:tab w:val="left" w:pos="720" w:leader="none"/>
          <w:tab w:val="left" w:pos="1080" w:leader="none"/>
          <w:tab w:val="left" w:pos="7200" w:leader="none"/>
        </w:tabs>
        <w:rPr>
          <w:rFonts w:ascii="Arial" w:hAnsi="Arial" w:cs="Arial"/>
          <w:sz w:val="22"/>
        </w:rPr>
      </w:pPr>
      <w:r>
        <w:rPr>
          <w:rFonts w:cs="Arial" w:ascii="Arial" w:hAnsi="Arial"/>
          <w:sz w:val="22"/>
        </w:rPr>
        <w:t>At its July 1998 meeting, the Board approved the membership and voting procedures of its standing committees, and agreed that these committees were to be effective May 1999.  Following are some excerpts from the Organization and Procedures Manual for the Standing Committees (most recently approved by the Board on October 12, 2000) related to the composition of the standing committees:</w:t>
      </w:r>
    </w:p>
    <w:p>
      <w:pPr>
        <w:pStyle w:val="Normal"/>
        <w:tabs>
          <w:tab w:val="left" w:pos="720" w:leader="none"/>
          <w:tab w:val="left" w:pos="1080" w:leader="none"/>
          <w:tab w:val="left" w:pos="7200" w:leader="none"/>
        </w:tabs>
        <w:rPr>
          <w:rFonts w:ascii="Arial" w:hAnsi="Arial" w:cs="Arial"/>
          <w:sz w:val="22"/>
        </w:rPr>
      </w:pPr>
      <w:r>
        <w:rPr>
          <w:rFonts w:cs="Arial" w:ascii="Arial" w:hAnsi="Arial"/>
          <w:sz w:val="22"/>
        </w:rPr>
      </w:r>
    </w:p>
    <w:p>
      <w:pPr>
        <w:pStyle w:val="Normal"/>
        <w:tabs>
          <w:tab w:val="clear" w:pos="720"/>
          <w:tab w:val="left" w:pos="1080" w:leader="none"/>
          <w:tab w:val="left" w:pos="1800" w:leader="none"/>
        </w:tabs>
        <w:ind w:start="720" w:end="0"/>
        <w:rPr/>
      </w:pPr>
      <w:r>
        <w:rPr>
          <w:rFonts w:cs="Arial" w:ascii="Arial" w:hAnsi="Arial"/>
          <w:i/>
          <w:iCs/>
          <w:sz w:val="22"/>
        </w:rPr>
        <w:t>“</w:t>
      </w:r>
      <w:r>
        <w:rPr>
          <w:rFonts w:cs="Arial" w:ascii="Arial" w:hAnsi="Arial"/>
          <w:i/>
          <w:iCs/>
          <w:sz w:val="22"/>
        </w:rPr>
        <w:t xml:space="preserve">The composition of the membership of the three NERC standing committees … represents an </w:t>
      </w:r>
      <w:r>
        <w:rPr>
          <w:rFonts w:cs="Arial" w:ascii="Arial" w:hAnsi="Arial"/>
          <w:i/>
          <w:iCs/>
          <w:sz w:val="22"/>
          <w:u w:val="single"/>
        </w:rPr>
        <w:t>interim</w:t>
      </w:r>
      <w:r>
        <w:rPr>
          <w:rFonts w:cs="Arial" w:ascii="Arial" w:hAnsi="Arial"/>
          <w:i/>
          <w:iCs/>
          <w:sz w:val="22"/>
        </w:rPr>
        <w:t xml:space="preserve"> [emphasis added] approach to membership in that an electric industry “end-state” membership is impossible to accurately determine at this time.”</w:t>
      </w:r>
    </w:p>
    <w:p>
      <w:pPr>
        <w:pStyle w:val="Normal"/>
        <w:tabs>
          <w:tab w:val="clear" w:pos="720"/>
          <w:tab w:val="left" w:pos="1080" w:leader="none"/>
          <w:tab w:val="left" w:pos="1800" w:leader="none"/>
        </w:tabs>
        <w:ind w:start="720" w:end="0"/>
        <w:rPr>
          <w:rFonts w:ascii="Arial" w:hAnsi="Arial" w:cs="Arial"/>
          <w:i/>
          <w:i/>
          <w:iCs/>
          <w:sz w:val="22"/>
        </w:rPr>
      </w:pPr>
      <w:r>
        <w:rPr>
          <w:rFonts w:cs="Arial" w:ascii="Arial" w:hAnsi="Arial"/>
          <w:i/>
          <w:iCs/>
          <w:sz w:val="22"/>
        </w:rPr>
      </w:r>
    </w:p>
    <w:p>
      <w:pPr>
        <w:pStyle w:val="BodyText3"/>
        <w:ind w:start="720" w:end="0"/>
        <w:rPr>
          <w:i/>
          <w:i/>
          <w:iCs/>
        </w:rPr>
      </w:pPr>
      <w:r>
        <w:rPr>
          <w:i/>
          <w:iCs/>
        </w:rPr>
        <w:t>“</w:t>
      </w:r>
      <w:r>
        <w:rPr>
          <w:i/>
          <w:iCs/>
        </w:rPr>
        <w:t>The committee membership may ultimately, and appropriately, be determined solely by market segments as the electric industry continues to evolve. The end-state committee membership, therefore, should ultimately be determined in whatever form, by an operational independent NAERO Board, at a time it considers appropriate.”</w:t>
      </w:r>
    </w:p>
    <w:p>
      <w:pPr>
        <w:pStyle w:val="Normal"/>
        <w:tabs>
          <w:tab w:val="clear" w:pos="720"/>
          <w:tab w:val="left" w:pos="1080" w:leader="none"/>
        </w:tabs>
        <w:ind w:start="720" w:end="-360"/>
        <w:rPr>
          <w:rFonts w:ascii="Arial" w:hAnsi="Arial" w:cs="Arial"/>
          <w:i/>
          <w:i/>
          <w:iCs/>
          <w:sz w:val="22"/>
        </w:rPr>
      </w:pPr>
      <w:r>
        <w:rPr>
          <w:rFonts w:cs="Arial" w:ascii="Arial" w:hAnsi="Arial"/>
          <w:i/>
          <w:iCs/>
          <w:sz w:val="22"/>
        </w:rPr>
      </w:r>
    </w:p>
    <w:p>
      <w:pPr>
        <w:pStyle w:val="BodyText"/>
        <w:tabs>
          <w:tab w:val="clear" w:pos="720"/>
          <w:tab w:val="left" w:pos="1080" w:leader="none"/>
          <w:tab w:val="left" w:pos="1800" w:leader="none"/>
        </w:tabs>
        <w:ind w:start="720" w:end="0"/>
        <w:rPr>
          <w:i/>
          <w:i/>
          <w:iCs/>
        </w:rPr>
      </w:pPr>
      <w:r>
        <w:rPr>
          <w:i/>
          <w:iCs/>
        </w:rPr>
        <w:t>“</w:t>
      </w:r>
      <w:r>
        <w:rPr>
          <w:i/>
          <w:iCs/>
        </w:rPr>
        <w:t>The standing committees are to function from May 1999 (or soon thereafter) until NERC becomes a self-regulating reliability organization (SRRO) and an independent NAERO Board becomes operational. At that time, the NAERO Board will have had an opportunity to determine whether it is appropriate to retain the interim membership committee structure or change the membership structure to one based on only market segments or something else.”</w:t>
      </w:r>
    </w:p>
    <w:p>
      <w:pPr>
        <w:pStyle w:val="Normal"/>
        <w:tabs>
          <w:tab w:val="clear" w:pos="720"/>
          <w:tab w:val="left" w:pos="1080" w:leader="none"/>
        </w:tabs>
        <w:ind w:start="720" w:end="-360"/>
        <w:rPr>
          <w:rFonts w:ascii="Arial" w:hAnsi="Arial" w:cs="Arial"/>
          <w:i/>
          <w:i/>
          <w:iCs/>
          <w:sz w:val="22"/>
        </w:rPr>
      </w:pPr>
      <w:r>
        <w:rPr>
          <w:rFonts w:cs="Arial" w:ascii="Arial" w:hAnsi="Arial"/>
          <w:i/>
          <w:iCs/>
          <w:sz w:val="22"/>
        </w:rPr>
      </w:r>
    </w:p>
    <w:p>
      <w:pPr>
        <w:pStyle w:val="BlockText"/>
        <w:rPr/>
      </w:pPr>
      <w:r>
        <w:rPr/>
        <w:t>“</w:t>
      </w:r>
      <w:r>
        <w:rPr/>
        <w:t>The three standing committees of NERC —Planning, Operating, and Market Interface — shall be comprised of 33 voting representatives and an appropriate number of nonvoting representatives … the voting membership of each standing committee shall include 13 regional reliability organization (RRO) representatives from the Eastern (9, including one from Eastern Canada), Western (3, including one from Western Canada), and Texas (1) Interconnections; 18 segment representatives — two from each of eight market segments (investor-owned utilities, state/municipal, cooperatives, federal (U.S.), independent power producers, power marketers, transmission dependent utilities, and customers), and two from Canada;  and a committee chair and vice chair.”</w:t>
      </w:r>
    </w:p>
    <w:p>
      <w:pPr>
        <w:pStyle w:val="Normal"/>
        <w:rPr>
          <w:rFonts w:ascii="Arial" w:hAnsi="Arial" w:cs="Arial"/>
          <w:sz w:val="22"/>
        </w:rPr>
      </w:pPr>
      <w:r>
        <w:rPr>
          <w:rFonts w:cs="Arial" w:ascii="Arial" w:hAnsi="Arial"/>
          <w:sz w:val="22"/>
        </w:rPr>
      </w:r>
    </w:p>
    <w:p>
      <w:pPr>
        <w:pStyle w:val="BodyText2"/>
        <w:rPr/>
      </w:pPr>
      <w:r>
        <w:rPr/>
        <w:t xml:space="preserve">On March 6, 2001, the CEOs of seven independent system operators (ISOs) wrote to then NERC chairman Gary Neale recommending that the temporary Stakeholders Committee ensure that ISOs/RTOs were assigned appropriate direct representation in the make up of the Stakeholders Committee.  On March 16, Mr. Neale replied to that letter, indicating his intention to charge the initial Stakeholders Committee to develop and recommend the composition, governance, and voting structure for an inclusive Stakeholders Committee.  He also assured the ISO CEOs that that the involvement and participation of ISOs is seen as critical to the new organization’s success.  </w:t>
      </w:r>
    </w:p>
    <w:p>
      <w:pPr>
        <w:pStyle w:val="BodyText2"/>
        <w:rPr/>
      </w:pPr>
      <w:r>
        <w:rPr/>
      </w:r>
    </w:p>
    <w:p>
      <w:pPr>
        <w:pStyle w:val="BodyText2"/>
        <w:rPr/>
      </w:pPr>
      <w:r>
        <w:rPr/>
        <w:t xml:space="preserve">At the March 30, 2001 meeting of the Stakeholders Committee, Mr. Neale announced the formation of a task force to develop recommendations by June 2001 on the composition, governance, and voting structure of an inclusive Stakeholders Committee, and invited members of the initial Stakeholders Committee and </w:t>
      </w:r>
      <w:r>
        <w:rPr>
          <w:szCs w:val="22"/>
        </w:rPr>
        <w:t xml:space="preserve">others to volunteer to serve.  At its June 11, 2001 meeting, the Stakeholders Committee accepted the initial recommendations of the Stakeholders Committee Governance Task Force, including a Voting Model that provides for two representatives of ISOs/RTOs.  At that same meeting, </w:t>
      </w:r>
      <w:r>
        <w:rPr/>
        <w:t>the issue was raised regarding whether ISO/RTO representation should be extended to standing committees.  However, in the ensuing discussion other issues were noted regarding what constitutes balance in NERC standing committees.”  Chairman Neale asked Dave Goulding to chair a task force to examine and prepare recommendations on the evolution of representation on NERC/NAERO standing committees, including what “balance” means today and moving forward.</w:t>
      </w:r>
    </w:p>
    <w:p>
      <w:pPr>
        <w:pStyle w:val="Normal"/>
        <w:rPr>
          <w:rFonts w:ascii="Arial" w:hAnsi="Arial" w:cs="Arial"/>
          <w:sz w:val="22"/>
        </w:rPr>
      </w:pPr>
      <w:r>
        <w:rPr>
          <w:rFonts w:cs="Arial" w:ascii="Arial" w:hAnsi="Arial"/>
          <w:sz w:val="22"/>
        </w:rPr>
      </w:r>
    </w:p>
    <w:p>
      <w:pPr>
        <w:pStyle w:val="Normal"/>
        <w:autoSpaceDE w:val="false"/>
        <w:rPr/>
      </w:pPr>
      <w:r>
        <w:rPr>
          <w:rFonts w:cs="Arial" w:ascii="Arial" w:hAnsi="Arial"/>
          <w:sz w:val="22"/>
        </w:rPr>
        <w:t xml:space="preserve">The Standards Task Force (STF) has also considered the issue of representation and balance in the context of standing committee voting on the approval of Organization Standards.  The Standards Task Force recommendations, which were accepted by the standing committees at their July 2001 meetings, call for </w:t>
      </w:r>
      <w:r>
        <w:rPr>
          <w:rFonts w:cs="Arial" w:ascii="Arial" w:hAnsi="Arial"/>
          <w:sz w:val="22"/>
          <w:szCs w:val="22"/>
        </w:rPr>
        <w:t>the Board of Trustees to commission a review of stakeholder representation and voting procedures within the NERC committee structure, to be completed as soon as practical, with the goal of assuring balanced and inclusive representation.  The Task Force report states:</w:t>
      </w:r>
    </w:p>
    <w:p>
      <w:pPr>
        <w:pStyle w:val="Normal"/>
        <w:autoSpaceDE w:val="false"/>
        <w:rPr>
          <w:rFonts w:ascii="Arial" w:hAnsi="Arial" w:cs="Arial"/>
          <w:sz w:val="22"/>
          <w:szCs w:val="22"/>
        </w:rPr>
      </w:pPr>
      <w:r>
        <w:rPr>
          <w:rFonts w:cs="Arial" w:ascii="Arial" w:hAnsi="Arial"/>
          <w:sz w:val="22"/>
          <w:szCs w:val="22"/>
        </w:rPr>
      </w:r>
    </w:p>
    <w:p>
      <w:pPr>
        <w:pStyle w:val="BodyTextIndent"/>
        <w:ind w:start="720" w:end="0"/>
        <w:rPr/>
      </w:pPr>
      <w:r>
        <w:rPr/>
        <w:t>“</w:t>
      </w:r>
      <w:r>
        <w:rPr/>
        <w:t>With the assignment of the standing committee members to serve as the standards ballot pool, the issue of balanced and open representation surfaced in the public comments. The Standing Committees Task Group developed the current model for committee representation, but noted the need for periodic review of the model. Comments have been received from outside the STF process to the effect that the current committee structure may not be balanced and that Regional Transmission Organizations are not represented. The STF believes that resolution of this issue can best be achieved through a Board initiative with inputs from the Stakeholders Committee.”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rPr>
      </w:pPr>
      <w:r>
        <w:rPr>
          <w:rFonts w:cs="Arial" w:ascii="Arial" w:hAnsi="Arial"/>
          <w:sz w:val="22"/>
        </w:rPr>
        <w:t>The Standards Task Force response to comments on the issue of balloting of proposed standards also contained the following statement:</w:t>
      </w:r>
    </w:p>
    <w:p>
      <w:pPr>
        <w:pStyle w:val="Normal"/>
        <w:autoSpaceDE w:val="false"/>
        <w:rPr>
          <w:rFonts w:ascii="Arial" w:hAnsi="Arial" w:cs="Arial"/>
          <w:sz w:val="22"/>
        </w:rPr>
      </w:pPr>
      <w:r>
        <w:rPr>
          <w:rFonts w:cs="Arial" w:ascii="Arial" w:hAnsi="Arial"/>
          <w:sz w:val="22"/>
        </w:rPr>
      </w:r>
    </w:p>
    <w:p>
      <w:pPr>
        <w:pStyle w:val="BodyTextIndent2"/>
        <w:rPr/>
      </w:pPr>
      <w:r>
        <w:rPr/>
        <w:t>“</w:t>
      </w:r>
      <w:r>
        <w:rPr/>
        <w:t>As the industry continues to change along with the emerging RTOs, the sectors may continue to change. The functions identified by the Control Area Criteria Task Force may be a factor in defining sectors. The Standards Task Force believes that the sector voting method may provide a framework for achieving balance and inclusiveness in the representation of industry interests.”</w:t>
      </w:r>
    </w:p>
    <w:p>
      <w:pPr>
        <w:pStyle w:val="Normal"/>
        <w:rPr>
          <w:rFonts w:ascii="Arial" w:hAnsi="Arial" w:cs="Arial"/>
          <w:sz w:val="22"/>
        </w:rPr>
      </w:pPr>
      <w:r>
        <w:rPr>
          <w:rFonts w:cs="Arial" w:ascii="Arial" w:hAnsi="Arial"/>
          <w:sz w:val="22"/>
        </w:rPr>
      </w:r>
    </w:p>
    <w:p>
      <w:pPr>
        <w:pStyle w:val="Heading2"/>
        <w:ind w:hanging="0" w:start="0"/>
        <w:rPr>
          <w:b/>
          <w:bCs/>
          <w:u w:val="none"/>
        </w:rPr>
      </w:pPr>
      <w:r>
        <w:rPr>
          <w:b/>
          <w:bCs/>
          <w:u w:val="none"/>
        </w:rPr>
        <w:t>Members of the Task Force</w:t>
      </w:r>
    </w:p>
    <w:p>
      <w:pPr>
        <w:pStyle w:val="Normal"/>
        <w:rPr>
          <w:rFonts w:ascii="Arial" w:hAnsi="Arial" w:cs="Arial"/>
          <w:b/>
          <w:bCs/>
          <w:sz w:val="22"/>
          <w:u w:val="none"/>
        </w:rPr>
      </w:pPr>
      <w:r>
        <w:rPr>
          <w:rFonts w:cs="Arial" w:ascii="Arial" w:hAnsi="Arial"/>
          <w:b/>
          <w:bCs/>
          <w:sz w:val="22"/>
          <w:u w:val="none"/>
        </w:rPr>
      </w:r>
    </w:p>
    <w:p>
      <w:pPr>
        <w:pStyle w:val="Normal"/>
        <w:rPr>
          <w:rFonts w:ascii="Arial" w:hAnsi="Arial" w:cs="Arial"/>
          <w:sz w:val="22"/>
        </w:rPr>
      </w:pPr>
      <w:r>
        <w:rPr>
          <w:rFonts w:cs="Arial" w:ascii="Arial" w:hAnsi="Arial"/>
          <w:sz w:val="22"/>
        </w:rPr>
        <w:t>Dave Goulding, task force chairman – IMO Ontario</w:t>
      </w:r>
    </w:p>
    <w:p>
      <w:pPr>
        <w:pStyle w:val="Normal"/>
        <w:rPr>
          <w:rFonts w:ascii="Arial" w:hAnsi="Arial" w:cs="Arial"/>
          <w:sz w:val="22"/>
        </w:rPr>
      </w:pPr>
      <w:r>
        <w:rPr>
          <w:rFonts w:cs="Arial" w:ascii="Arial" w:hAnsi="Arial"/>
          <w:sz w:val="22"/>
        </w:rPr>
        <w:t>John Anderson – ELCON</w:t>
      </w:r>
    </w:p>
    <w:p>
      <w:pPr>
        <w:pStyle w:val="Normal"/>
        <w:rPr>
          <w:rFonts w:ascii="Arial" w:hAnsi="Arial" w:cs="Arial"/>
          <w:sz w:val="22"/>
        </w:rPr>
      </w:pPr>
      <w:r>
        <w:rPr>
          <w:rFonts w:cs="Arial" w:ascii="Arial" w:hAnsi="Arial"/>
          <w:sz w:val="22"/>
        </w:rPr>
        <w:t>Pete Landrieu – PSE&amp;G (MAAC)</w:t>
      </w:r>
    </w:p>
    <w:p>
      <w:pPr>
        <w:pStyle w:val="Normal"/>
        <w:rPr>
          <w:rFonts w:ascii="Arial" w:hAnsi="Arial" w:cs="Arial"/>
          <w:sz w:val="22"/>
        </w:rPr>
      </w:pPr>
      <w:r>
        <w:rPr>
          <w:rFonts w:cs="Arial" w:ascii="Arial" w:hAnsi="Arial"/>
          <w:sz w:val="22"/>
        </w:rPr>
        <w:t>Steve Gilliland – Duke Energy North America</w:t>
      </w:r>
    </w:p>
    <w:p>
      <w:pPr>
        <w:pStyle w:val="Normal"/>
        <w:rPr>
          <w:rFonts w:ascii="Arial" w:hAnsi="Arial" w:cs="Arial"/>
          <w:sz w:val="22"/>
        </w:rPr>
      </w:pPr>
      <w:r>
        <w:rPr>
          <w:rFonts w:cs="Arial" w:ascii="Arial" w:hAnsi="Arial"/>
          <w:sz w:val="22"/>
        </w:rPr>
        <w:t>Dennis Eyre – WSCC</w:t>
      </w:r>
    </w:p>
    <w:p>
      <w:pPr>
        <w:pStyle w:val="Normal"/>
        <w:rPr>
          <w:rFonts w:ascii="Arial" w:hAnsi="Arial" w:cs="Arial"/>
          <w:sz w:val="22"/>
        </w:rPr>
      </w:pPr>
      <w:r>
        <w:rPr>
          <w:rFonts w:cs="Arial" w:ascii="Arial" w:hAnsi="Arial"/>
          <w:sz w:val="22"/>
        </w:rPr>
        <w:t>John Marschewski – SPP</w:t>
      </w:r>
    </w:p>
    <w:p>
      <w:pPr>
        <w:pStyle w:val="Normal"/>
        <w:rPr>
          <w:rFonts w:ascii="Arial" w:hAnsi="Arial" w:cs="Arial"/>
          <w:sz w:val="22"/>
        </w:rPr>
      </w:pPr>
      <w:r>
        <w:rPr>
          <w:rFonts w:cs="Arial" w:ascii="Arial" w:hAnsi="Arial"/>
          <w:sz w:val="22"/>
        </w:rPr>
        <w:t>Ken Wiley – FRCC</w:t>
      </w:r>
    </w:p>
    <w:p>
      <w:pPr>
        <w:pStyle w:val="Normal"/>
        <w:rPr>
          <w:rFonts w:ascii="Arial" w:hAnsi="Arial" w:cs="Arial"/>
          <w:sz w:val="22"/>
        </w:rPr>
      </w:pPr>
      <w:r>
        <w:rPr>
          <w:rFonts w:cs="Arial" w:ascii="Arial" w:hAnsi="Arial"/>
          <w:sz w:val="22"/>
        </w:rPr>
        <w:t>Lydia Vollmer – PECO Power Team</w:t>
      </w:r>
    </w:p>
    <w:p>
      <w:pPr>
        <w:pStyle w:val="Normal"/>
        <w:rPr>
          <w:rFonts w:ascii="Arial" w:hAnsi="Arial" w:cs="Arial"/>
          <w:sz w:val="22"/>
        </w:rPr>
      </w:pPr>
      <w:r>
        <w:rPr>
          <w:rFonts w:cs="Arial" w:ascii="Arial" w:hAnsi="Arial"/>
          <w:sz w:val="22"/>
        </w:rPr>
        <w:t>Mark Bennett – EPSA</w:t>
      </w:r>
    </w:p>
    <w:p>
      <w:pPr>
        <w:pStyle w:val="Normal"/>
        <w:rPr>
          <w:rFonts w:ascii="Arial" w:hAnsi="Arial" w:cs="Arial"/>
          <w:sz w:val="22"/>
        </w:rPr>
      </w:pPr>
      <w:r>
        <w:rPr>
          <w:rFonts w:cs="Arial" w:ascii="Arial" w:hAnsi="Arial"/>
          <w:sz w:val="22"/>
        </w:rPr>
        <w:t>Glenn Ross – Virginia Power (PC vice chair)</w:t>
      </w:r>
    </w:p>
    <w:p>
      <w:pPr>
        <w:pStyle w:val="Normal"/>
        <w:rPr>
          <w:rFonts w:ascii="Arial" w:hAnsi="Arial" w:cs="Arial"/>
          <w:sz w:val="22"/>
        </w:rPr>
      </w:pPr>
      <w:r>
        <w:rPr>
          <w:rFonts w:cs="Arial" w:ascii="Arial" w:hAnsi="Arial"/>
          <w:sz w:val="22"/>
        </w:rPr>
        <w:t>Wally Johnson – PEPCO (STF member)</w:t>
      </w:r>
    </w:p>
    <w:p>
      <w:pPr>
        <w:pStyle w:val="Normal"/>
        <w:rPr>
          <w:rFonts w:ascii="Arial" w:hAnsi="Arial" w:cs="Arial"/>
          <w:sz w:val="22"/>
        </w:rPr>
      </w:pPr>
      <w:r>
        <w:rPr>
          <w:rFonts w:cs="Arial" w:ascii="Arial" w:hAnsi="Arial"/>
          <w:sz w:val="22"/>
        </w:rPr>
        <w:t>Bill Phillips – MISO (OC past chair)</w:t>
      </w:r>
    </w:p>
    <w:p>
      <w:pPr>
        <w:pStyle w:val="Normal"/>
        <w:rPr>
          <w:rFonts w:ascii="Arial" w:hAnsi="Arial" w:cs="Arial"/>
          <w:sz w:val="22"/>
        </w:rPr>
      </w:pPr>
      <w:r>
        <w:rPr>
          <w:rFonts w:cs="Arial" w:ascii="Arial" w:hAnsi="Arial"/>
          <w:sz w:val="22"/>
        </w:rPr>
        <w:t>Dave Nevius – NERC staff coordinator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2"/>
      </w:rPr>
    </w:pPr>
    <w:r>
      <w:rPr>
        <w:rFonts w:cs="Arial" w:ascii="Arial" w:hAnsi="Arial"/>
        <w:sz w:val="22"/>
      </w:rPr>
      <w:t>September 27,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2"/>
    </w:rPr>
  </w:style>
  <w:style w:type="paragraph" w:styleId="Heading2">
    <w:name w:val="heading 2"/>
    <w:basedOn w:val="Normal"/>
    <w:next w:val="Normal"/>
    <w:qFormat/>
    <w:pPr>
      <w:keepNext w:val="true"/>
      <w:numPr>
        <w:ilvl w:val="1"/>
        <w:numId w:val="1"/>
      </w:numPr>
      <w:outlineLvl w:val="1"/>
    </w:pPr>
    <w:rPr>
      <w:rFonts w:ascii="Arial" w:hAnsi="Arial" w:cs="Arial"/>
      <w:sz w:val="22"/>
      <w:u w:val="single"/>
    </w:rPr>
  </w:style>
  <w:style w:type="character" w:styleId="WW8Num2z0">
    <w:name w:val="WW8Num2z0"/>
    <w:qFormat/>
    <w:rPr/>
  </w:style>
  <w:style w:type="character" w:styleId="WW8Num3z0">
    <w:name w:val="WW8Num3z0"/>
    <w:qFormat/>
    <w:rPr>
      <w:rFonts w:ascii="Arial" w:hAnsi="Arial" w:eastAsia="Times New Roman"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Indent">
    <w:name w:val="Body Text Indent"/>
    <w:basedOn w:val="Normal"/>
    <w:pPr>
      <w:autoSpaceDE w:val="false"/>
      <w:ind w:hanging="0" w:start="900" w:end="0"/>
    </w:pPr>
    <w:rPr>
      <w:rFonts w:ascii="Arial" w:hAnsi="Arial" w:cs="Arial"/>
      <w:i/>
      <w:iCs/>
      <w:sz w:val="22"/>
      <w:szCs w:val="22"/>
    </w:rPr>
  </w:style>
  <w:style w:type="paragraph" w:styleId="BodyTextIndent2">
    <w:name w:val="Body Text Indent 2"/>
    <w:basedOn w:val="Normal"/>
    <w:qFormat/>
    <w:pPr>
      <w:autoSpaceDE w:val="false"/>
      <w:ind w:hanging="0" w:start="720" w:end="0"/>
    </w:pPr>
    <w:rPr>
      <w:rFonts w:ascii="Arial" w:hAnsi="Arial" w:cs="Arial"/>
      <w:i/>
      <w:iC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080" w:leader="none"/>
        <w:tab w:val="left" w:pos="1800" w:leader="none"/>
      </w:tabs>
    </w:pPr>
    <w:rPr>
      <w:rFonts w:ascii="Arial" w:hAnsi="Arial" w:cs="Arial"/>
      <w:sz w:val="22"/>
    </w:rPr>
  </w:style>
  <w:style w:type="paragraph" w:styleId="BlockText">
    <w:name w:val="Block Text"/>
    <w:basedOn w:val="Normal"/>
    <w:qFormat/>
    <w:pPr>
      <w:tabs>
        <w:tab w:val="clear" w:pos="720"/>
        <w:tab w:val="left" w:pos="1080" w:leader="none"/>
      </w:tabs>
      <w:ind w:hanging="0" w:start="720" w:end="-360"/>
    </w:pPr>
    <w:rPr>
      <w:rFonts w:ascii="Arial" w:hAnsi="Arial" w:cs="Arial"/>
      <w:i/>
      <w:iCs/>
      <w:sz w:val="22"/>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2001-09-27T15:04:00Z</dcterms:created>
  <dc:creator>David R. Nevius</dc:creator>
  <dc:description/>
  <dc:language>en-CA</dc:language>
  <cp:lastModifiedBy>David R. Nevius</cp:lastModifiedBy>
  <dcterms:modified xsi:type="dcterms:W3CDTF">2001-09-27T16:06:00Z</dcterms:modified>
  <cp:revision>10</cp:revision>
  <dc:subject/>
  <dc:title>- DRAFT -</dc:title>
</cp:coreProperties>
</file>