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entury Schoolbook" w:hAnsi="Century Schoolbook" w:cs="Century Schoolbook"/>
          <w:sz w:val="24"/>
        </w:rPr>
      </w:pPr>
      <w:r>
        <w:rPr>
          <w:rFonts w:cs="Century Schoolbook" w:ascii="Century Schoolbook" w:hAnsi="Century Schoolbook"/>
          <w:sz w:val="24"/>
        </w:rPr>
        <w:t xml:space="preserve">Bonneville Power Administration </w:t>
      </w:r>
    </w:p>
    <w:p>
      <w:pPr>
        <w:pStyle w:val="Heading"/>
        <w:rPr>
          <w:rFonts w:ascii="Century Schoolbook" w:hAnsi="Century Schoolbook" w:cs="Century Schoolbook"/>
          <w:sz w:val="24"/>
        </w:rPr>
      </w:pPr>
      <w:r>
        <w:rPr>
          <w:rFonts w:cs="Century Schoolbook" w:ascii="Century Schoolbook" w:hAnsi="Century Schoolbook"/>
          <w:sz w:val="24"/>
        </w:rPr>
        <w:t xml:space="preserve">Transmission Business Line </w:t>
      </w:r>
    </w:p>
    <w:p>
      <w:pPr>
        <w:pStyle w:val="Heading"/>
        <w:rPr>
          <w:rFonts w:ascii="Century Schoolbook" w:hAnsi="Century Schoolbook" w:cs="Century Schoolbook"/>
          <w:sz w:val="24"/>
        </w:rPr>
      </w:pPr>
      <w:r>
        <w:rPr>
          <w:rFonts w:cs="Century Schoolbook" w:ascii="Century Schoolbook" w:hAnsi="Century Schoolbook"/>
          <w:sz w:val="24"/>
        </w:rPr>
        <w:t xml:space="preserve">Business Practices </w:t>
      </w:r>
    </w:p>
    <w:p>
      <w:pPr>
        <w:pStyle w:val="Heading"/>
        <w:rPr>
          <w:rFonts w:ascii="Century Schoolbook" w:hAnsi="Century Schoolbook" w:cs="Century Schoolbook"/>
          <w:sz w:val="24"/>
        </w:rPr>
      </w:pPr>
      <w:r>
        <w:rPr>
          <w:rFonts w:cs="Century Schoolbook" w:ascii="Century Schoolbook" w:hAnsi="Century Schoolbook"/>
          <w:sz w:val="24"/>
        </w:rPr>
        <w:t>FY 2002-2003 Rate Period</w:t>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rPr>
          <w:rFonts w:ascii="Century Schoolbook" w:hAnsi="Century Schoolbook" w:cs="Century Schoolbook"/>
          <w:sz w:val="24"/>
        </w:rPr>
      </w:pPr>
      <w:r>
        <w:rPr>
          <w:rFonts w:cs="Century Schoolbook" w:ascii="Century Schoolbook" w:hAnsi="Century Schoolbook"/>
          <w:sz w:val="24"/>
        </w:rPr>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Comment Solicitation on Business Practice</w:t>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Implementing the 2002 Rate Case Settlement</w:t>
      </w:r>
    </w:p>
    <w:p>
      <w:pPr>
        <w:pStyle w:val="Normal"/>
        <w:jc w:val="center"/>
        <w:rPr>
          <w:b/>
        </w:rPr>
      </w:pPr>
      <w:r>
        <w:rPr>
          <w:b/>
        </w:rPr>
        <w:t>Effective October 1, 2001</w:t>
      </w:r>
    </w:p>
    <w:p>
      <w:pPr>
        <w:pStyle w:val="Normal"/>
        <w:jc w:val="center"/>
        <w:rPr>
          <w:b/>
        </w:rPr>
      </w:pPr>
      <w:r>
        <w:rPr>
          <w:b/>
        </w:rPr>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Section V</w:t>
      </w:r>
    </w:p>
    <w:p>
      <w:pPr>
        <w:pStyle w:val="Normal"/>
        <w:jc w:val="center"/>
        <w:rPr>
          <w:b/>
        </w:rPr>
      </w:pPr>
      <w:r>
        <w:rPr>
          <w:b/>
        </w:rPr>
        <w:t>Redispatch and Curtailment Procedures</w:t>
      </w:r>
    </w:p>
    <w:p>
      <w:pPr>
        <w:pStyle w:val="Heading1"/>
        <w:numPr>
          <w:ilvl w:val="0"/>
          <w:numId w:val="0"/>
        </w:numPr>
        <w:spacing w:lineRule="auto" w:line="240"/>
        <w:ind w:hanging="0" w:start="0"/>
        <w:jc w:val="center"/>
        <w:rPr>
          <w:rFonts w:ascii="Century Schoolbook" w:hAnsi="Century Schoolbook" w:cs="Century Schoolbook"/>
          <w:b w:val="false"/>
        </w:rPr>
      </w:pPr>
      <w:r>
        <w:rPr>
          <w:rFonts w:cs="Century Schoolbook" w:ascii="Century Schoolbook" w:hAnsi="Century Schoolbook"/>
          <w:b w:val="false"/>
          <w:rPrChange w:id="0" w:author="Unknown Author" w:date="0-00-00T00:00:00Z"/>
        </w:rPr>
        <w:rPrChange w:id="0" w:author="Unknown Author" w:date="0-00-00T00:00:00Z"/>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Posted: February 12, 2001</w:t>
      </w:r>
    </w:p>
    <w:p>
      <w:pPr>
        <w:pStyle w:val="Normal"/>
        <w:jc w:val="center"/>
        <w:rPr>
          <w:rFonts w:ascii="Century Schoolbook" w:hAnsi="Century Schoolbook" w:cs="Century Schoolbook"/>
          <w:b/>
          <w:sz w:val="22"/>
        </w:rPr>
      </w:pPr>
      <w:r>
        <w:rPr>
          <w:rFonts w:cs="Century Schoolbook"/>
          <w:b/>
          <w:sz w:val="22"/>
        </w:rPr>
      </w:r>
    </w:p>
    <w:p>
      <w:pPr>
        <w:pStyle w:val="Normal"/>
        <w:jc w:val="center"/>
        <w:rPr>
          <w:b/>
          <w:sz w:val="28"/>
        </w:rPr>
      </w:pPr>
      <w:r>
        <w:rPr>
          <w:b/>
          <w:sz w:val="28"/>
        </w:rPr>
        <w:t>CHANGE:  Comment period extended to March 2, 2001.</w:t>
      </w:r>
    </w:p>
    <w:p>
      <w:pPr>
        <w:pStyle w:val="Normal"/>
        <w:jc w:val="center"/>
        <w:rPr>
          <w:b/>
          <w:sz w:val="22"/>
        </w:rPr>
      </w:pPr>
      <w:r>
        <w:rPr>
          <w:b/>
          <w:sz w:val="22"/>
        </w:rPr>
      </w:r>
    </w:p>
    <w:p>
      <w:pPr>
        <w:pStyle w:val="Normal"/>
        <w:rPr/>
      </w:pPr>
      <w:r>
        <w:rPr>
          <w:b/>
          <w:sz w:val="22"/>
        </w:rPr>
        <w:t>Please review and comment on Section IV, Redispatch and Curtailment Procedures Business Practice by close of business February 23, 2001</w:t>
      </w:r>
      <w:r>
        <w:rPr>
          <w:sz w:val="22"/>
        </w:rPr>
        <w:t>.  Please reference the specific section for which you are providing comments.</w:t>
      </w:r>
    </w:p>
    <w:p>
      <w:pPr>
        <w:pStyle w:val="Normal"/>
        <w:rPr>
          <w:sz w:val="22"/>
        </w:rPr>
      </w:pPr>
      <w:r>
        <w:rPr>
          <w:sz w:val="22"/>
        </w:rPr>
      </w:r>
    </w:p>
    <w:p>
      <w:pPr>
        <w:pStyle w:val="Normal"/>
        <w:rPr>
          <w:sz w:val="22"/>
        </w:rPr>
      </w:pPr>
      <w:r>
        <w:rPr>
          <w:sz w:val="22"/>
        </w:rPr>
        <w:t xml:space="preserve">Comments should be submitted by E-mail to:  </w:t>
      </w:r>
    </w:p>
    <w:p>
      <w:pPr>
        <w:pStyle w:val="Normal"/>
        <w:rPr>
          <w:sz w:val="22"/>
        </w:rPr>
      </w:pPr>
      <w:r>
        <w:rPr>
          <w:sz w:val="22"/>
        </w:rPr>
      </w:r>
    </w:p>
    <w:p>
      <w:pPr>
        <w:pStyle w:val="Normal"/>
        <w:rPr>
          <w:sz w:val="22"/>
        </w:rPr>
      </w:pPr>
      <w:r>
        <w:rPr>
          <w:sz w:val="22"/>
        </w:rPr>
        <w:t>Madalton@bpa.gov</w:t>
      </w:r>
    </w:p>
    <w:p>
      <w:pPr>
        <w:pStyle w:val="Normal"/>
        <w:rPr>
          <w:sz w:val="22"/>
        </w:rPr>
      </w:pPr>
      <w:r>
        <w:rPr>
          <w:sz w:val="22"/>
        </w:rPr>
        <w:t>AND</w:t>
      </w:r>
    </w:p>
    <w:p>
      <w:pPr>
        <w:pStyle w:val="Normal"/>
        <w:rPr>
          <w:sz w:val="22"/>
        </w:rPr>
      </w:pPr>
      <w:hyperlink r:id="rId2">
        <w:r>
          <w:rPr>
            <w:rStyle w:val="Hyperlink"/>
            <w:sz w:val="22"/>
          </w:rPr>
          <w:t>Jmcneilkeister@bpa.gov</w:t>
        </w:r>
      </w:hyperlink>
    </w:p>
    <w:p>
      <w:pPr>
        <w:pStyle w:val="Normal"/>
        <w:rPr>
          <w:sz w:val="22"/>
        </w:rPr>
      </w:pPr>
      <w:r>
        <w:rPr>
          <w:sz w:val="22"/>
        </w:rPr>
      </w:r>
    </w:p>
    <w:p>
      <w:pPr>
        <w:pStyle w:val="Normal"/>
        <w:rPr>
          <w:sz w:val="22"/>
        </w:rPr>
      </w:pPr>
      <w:r>
        <w:rPr>
          <w:sz w:val="22"/>
        </w:rPr>
        <w:t>All customer comments and BPA's Transmission Business Line's (BPAT) responses to those comments will be posted on BPAT's OASIS website on or about March 16, 2001.</w:t>
      </w:r>
    </w:p>
    <w:p>
      <w:pPr>
        <w:pStyle w:val="Normal"/>
        <w:rPr>
          <w:sz w:val="22"/>
        </w:rPr>
      </w:pPr>
      <w:r>
        <w:rPr>
          <w:sz w:val="22"/>
        </w:rPr>
      </w:r>
      <w:r>
        <w:br w:type="page"/>
      </w:r>
    </w:p>
    <w:p>
      <w:pPr>
        <w:pStyle w:val="Heading"/>
        <w:rPr>
          <w:rFonts w:ascii="Century Schoolbook" w:hAnsi="Century Schoolbook" w:cs="Century Schoolbook"/>
          <w:sz w:val="24"/>
        </w:rPr>
      </w:pPr>
      <w:r>
        <w:rPr>
          <w:rFonts w:cs="Century Schoolbook" w:ascii="Century Schoolbook" w:hAnsi="Century Schoolbook"/>
          <w:sz w:val="24"/>
        </w:rPr>
        <w:t xml:space="preserve">Bonneville Power Administration </w:t>
      </w:r>
    </w:p>
    <w:p>
      <w:pPr>
        <w:pStyle w:val="Heading"/>
        <w:rPr>
          <w:rFonts w:ascii="Century Schoolbook" w:hAnsi="Century Schoolbook" w:cs="Century Schoolbook"/>
          <w:sz w:val="24"/>
        </w:rPr>
      </w:pPr>
      <w:r>
        <w:rPr>
          <w:rFonts w:cs="Century Schoolbook" w:ascii="Century Schoolbook" w:hAnsi="Century Schoolbook"/>
          <w:sz w:val="24"/>
        </w:rPr>
        <w:t>Transmission Business Line  (BPAT)</w:t>
      </w:r>
    </w:p>
    <w:p>
      <w:pPr>
        <w:pStyle w:val="Heading"/>
        <w:rPr>
          <w:rFonts w:ascii="Century Schoolbook" w:hAnsi="Century Schoolbook" w:cs="Century Schoolbook"/>
          <w:sz w:val="24"/>
        </w:rPr>
      </w:pPr>
      <w:r>
        <w:rPr>
          <w:rFonts w:cs="Century Schoolbook" w:ascii="Century Schoolbook" w:hAnsi="Century Schoolbook"/>
          <w:sz w:val="24"/>
        </w:rPr>
        <w:t xml:space="preserve">Business Practices </w:t>
      </w:r>
    </w:p>
    <w:p>
      <w:pPr>
        <w:pStyle w:val="Heading"/>
        <w:rPr>
          <w:rFonts w:ascii="Century Schoolbook" w:hAnsi="Century Schoolbook" w:cs="Century Schoolbook"/>
          <w:sz w:val="22"/>
        </w:rPr>
      </w:pPr>
      <w:r>
        <w:rPr>
          <w:rFonts w:cs="Century Schoolbook" w:ascii="Century Schoolbook" w:hAnsi="Century Schoolbook"/>
          <w:sz w:val="24"/>
        </w:rPr>
        <w:t>2002-2003 Rate Period</w:t>
      </w:r>
    </w:p>
    <w:p>
      <w:pPr>
        <w:pStyle w:val="Heading"/>
        <w:rPr>
          <w:rFonts w:ascii="Century Schoolbook" w:hAnsi="Century Schoolbook" w:cs="Century Schoolbook"/>
          <w:sz w:val="22"/>
        </w:rPr>
      </w:pPr>
      <w:r>
        <w:rPr>
          <w:rFonts w:cs="Century Schoolbook" w:ascii="Century Schoolbook" w:hAnsi="Century Schoolbook"/>
          <w:sz w:val="22"/>
        </w:rPr>
      </w:r>
    </w:p>
    <w:p>
      <w:pPr>
        <w:pStyle w:val="Heading"/>
        <w:rPr>
          <w:rFonts w:ascii="Century Schoolbook" w:hAnsi="Century Schoolbook" w:cs="Century Schoolbook"/>
          <w:sz w:val="22"/>
        </w:rPr>
      </w:pPr>
      <w:r>
        <w:rPr>
          <w:rFonts w:cs="Century Schoolbook" w:ascii="Century Schoolbook" w:hAnsi="Century Schoolbook"/>
          <w:sz w:val="22"/>
        </w:rPr>
      </w:r>
    </w:p>
    <w:p>
      <w:pPr>
        <w:pStyle w:val="Heading"/>
        <w:rPr>
          <w:rFonts w:ascii="Century Schoolbook" w:hAnsi="Century Schoolbook" w:cs="Century Schoolbook"/>
          <w:sz w:val="24"/>
        </w:rPr>
      </w:pPr>
      <w:r>
        <w:rPr>
          <w:rFonts w:cs="Century Schoolbook" w:ascii="Century Schoolbook" w:hAnsi="Century Schoolbook"/>
          <w:sz w:val="24"/>
        </w:rPr>
        <w:t>Table of Content</w:t>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tabs>
          <w:tab w:val="clear" w:pos="720"/>
          <w:tab w:val="left" w:pos="1350" w:leader="none"/>
          <w:tab w:val="left" w:pos="7560" w:leader="none"/>
        </w:tabs>
        <w:ind w:end="-360"/>
        <w:jc w:val="start"/>
        <w:rPr>
          <w:rFonts w:ascii="Century Schoolbook" w:hAnsi="Century Schoolbook" w:cs="Century Schoolbook"/>
          <w:sz w:val="22"/>
        </w:rPr>
      </w:pPr>
      <w:r>
        <w:rPr>
          <w:rFonts w:cs="Century Schoolbook" w:ascii="Century Schoolbook" w:hAnsi="Century Schoolbook"/>
          <w:sz w:val="22"/>
        </w:rPr>
        <w:t>SECTION</w:t>
        <w:tab/>
        <w:tab/>
        <w:t xml:space="preserve">Page No. </w:t>
      </w:r>
    </w:p>
    <w:p>
      <w:pPr>
        <w:pStyle w:val="Heading"/>
        <w:tabs>
          <w:tab w:val="clear" w:pos="720"/>
          <w:tab w:val="left" w:pos="1350" w:leader="none"/>
          <w:tab w:val="left" w:pos="7560" w:leader="none"/>
        </w:tabs>
        <w:ind w:end="-360"/>
        <w:jc w:val="start"/>
        <w:rPr>
          <w:rFonts w:ascii="Century Schoolbook" w:hAnsi="Century Schoolbook" w:cs="Century Schoolbook"/>
          <w:sz w:val="22"/>
        </w:rPr>
      </w:pPr>
      <w:r>
        <w:rPr>
          <w:rFonts w:cs="Century Schoolbook" w:ascii="Century Schoolbook" w:hAnsi="Century Schoolbook"/>
          <w:sz w:val="22"/>
        </w:rPr>
      </w:r>
    </w:p>
    <w:p>
      <w:pPr>
        <w:pStyle w:val="Heading"/>
        <w:numPr>
          <w:ilvl w:val="0"/>
          <w:numId w:val="6"/>
        </w:numPr>
        <w:tabs>
          <w:tab w:val="clear" w:pos="720"/>
          <w:tab w:val="left" w:pos="0" w:leader="none"/>
        </w:tabs>
        <w:jc w:val="start"/>
        <w:rPr>
          <w:rFonts w:ascii="Century Schoolbook" w:hAnsi="Century Schoolbook" w:cs="Century Schoolbook"/>
          <w:sz w:val="22"/>
        </w:rPr>
      </w:pPr>
      <w:r>
        <w:rPr>
          <w:rFonts w:cs="Century Schoolbook" w:ascii="Century Schoolbook" w:hAnsi="Century Schoolbook"/>
          <w:sz w:val="22"/>
        </w:rPr>
        <w:t xml:space="preserve">Commonly Used Acronyms </w:t>
      </w:r>
    </w:p>
    <w:p>
      <w:pPr>
        <w:pStyle w:val="Heading"/>
        <w:tabs>
          <w:tab w:val="clear" w:pos="720"/>
          <w:tab w:val="left" w:pos="0" w:leader="none"/>
        </w:tabs>
        <w:jc w:val="start"/>
        <w:rPr>
          <w:rFonts w:ascii="Century Schoolbook" w:hAnsi="Century Schoolbook" w:cs="Century Schoolbook"/>
          <w:sz w:val="22"/>
        </w:rPr>
      </w:pPr>
      <w:r>
        <w:rPr>
          <w:rFonts w:cs="Century Schoolbook" w:ascii="Century Schoolbook" w:hAnsi="Century Schoolbook"/>
          <w:sz w:val="22"/>
        </w:rPr>
      </w:r>
    </w:p>
    <w:p>
      <w:pPr>
        <w:pStyle w:val="Heading"/>
        <w:numPr>
          <w:ilvl w:val="0"/>
          <w:numId w:val="6"/>
        </w:numPr>
        <w:tabs>
          <w:tab w:val="clear" w:pos="720"/>
          <w:tab w:val="left" w:pos="0" w:leader="none"/>
        </w:tabs>
        <w:spacing w:lineRule="auto" w:line="480"/>
        <w:jc w:val="start"/>
        <w:rPr>
          <w:rFonts w:ascii="Century Schoolbook" w:hAnsi="Century Schoolbook" w:cs="Century Schoolbook"/>
          <w:sz w:val="22"/>
        </w:rPr>
      </w:pPr>
      <w:r>
        <w:rPr>
          <w:rFonts w:cs="Century Schoolbook" w:ascii="Century Schoolbook" w:hAnsi="Century Schoolbook"/>
          <w:sz w:val="22"/>
        </w:rPr>
        <w:t xml:space="preserve">Scheduling Procedures </w:t>
      </w:r>
    </w:p>
    <w:p>
      <w:pPr>
        <w:pStyle w:val="Heading"/>
        <w:tabs>
          <w:tab w:val="clear" w:pos="720"/>
          <w:tab w:val="left" w:pos="0" w:leader="none"/>
        </w:tabs>
        <w:ind w:start="720" w:end="0"/>
        <w:jc w:val="start"/>
        <w:rPr>
          <w:rFonts w:ascii="Century Schoolbook" w:hAnsi="Century Schoolbook" w:cs="Century Schoolbook"/>
          <w:sz w:val="22"/>
        </w:rPr>
      </w:pPr>
      <w:r>
        <w:rPr>
          <w:rFonts w:cs="Century Schoolbook" w:ascii="Century Schoolbook" w:hAnsi="Century Schoolbook"/>
          <w:sz w:val="22"/>
        </w:rPr>
        <w:t>A.</w:t>
        <w:tab/>
        <w:t>General Terms</w:t>
      </w:r>
    </w:p>
    <w:p>
      <w:pPr>
        <w:pStyle w:val="Normal"/>
        <w:ind w:firstLine="720" w:end="0"/>
        <w:rPr>
          <w:b/>
          <w:sz w:val="22"/>
        </w:rPr>
      </w:pPr>
      <w:r>
        <w:rPr>
          <w:b/>
          <w:sz w:val="22"/>
        </w:rPr>
        <w:t>B.</w:t>
        <w:tab/>
        <w:t>Specific Transmission Services</w:t>
      </w:r>
    </w:p>
    <w:p>
      <w:pPr>
        <w:pStyle w:val="Normal"/>
        <w:ind w:firstLine="720" w:start="720" w:end="0"/>
        <w:rPr>
          <w:b/>
          <w:sz w:val="22"/>
        </w:rPr>
      </w:pPr>
      <w:r>
        <w:rPr>
          <w:b/>
          <w:sz w:val="22"/>
        </w:rPr>
      </w:r>
    </w:p>
    <w:p>
      <w:pPr>
        <w:pStyle w:val="Normal"/>
        <w:ind w:firstLine="720" w:start="720" w:end="0"/>
        <w:rPr>
          <w:b/>
          <w:sz w:val="22"/>
        </w:rPr>
      </w:pPr>
      <w:r>
        <w:rPr>
          <w:b/>
          <w:sz w:val="22"/>
        </w:rPr>
        <w:t>1.1</w:t>
        <w:tab/>
        <w:t xml:space="preserve">Firm Point-to-Point (PTP) Transmission Service </w:t>
      </w:r>
    </w:p>
    <w:p>
      <w:pPr>
        <w:pStyle w:val="Normal"/>
        <w:numPr>
          <w:ilvl w:val="1"/>
          <w:numId w:val="4"/>
        </w:numPr>
        <w:rPr>
          <w:b/>
          <w:sz w:val="22"/>
        </w:rPr>
      </w:pPr>
      <w:r>
        <w:rPr>
          <w:b/>
          <w:sz w:val="22"/>
        </w:rPr>
        <w:t>Non-Firm Point-to-Point (PTP) Transmission Service</w:t>
      </w:r>
    </w:p>
    <w:p>
      <w:pPr>
        <w:pStyle w:val="Normal"/>
        <w:ind w:firstLine="720" w:start="720" w:end="0"/>
        <w:rPr>
          <w:b/>
          <w:sz w:val="22"/>
        </w:rPr>
      </w:pPr>
      <w:r>
        <w:rPr>
          <w:b/>
          <w:sz w:val="22"/>
        </w:rPr>
        <w:t>1.3</w:t>
        <w:tab/>
        <w:t>Network Integration (NT) Transmission Service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b/>
          <w:sz w:val="22"/>
        </w:rPr>
        <w:tab/>
        <w:t>Table A - Reservation Timing Requirements</w:t>
      </w:r>
    </w:p>
    <w:p>
      <w:pPr>
        <w:pStyle w:val="Heading3"/>
        <w:tabs>
          <w:tab w:val="clear" w:pos="360"/>
          <w:tab w:val="clear" w:pos="1080"/>
          <w:tab w:val="left" w:pos="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end="0"/>
        <w:jc w:val="start"/>
        <w:rPr>
          <w:rFonts w:ascii="Century Schoolbook" w:hAnsi="Century Schoolbook" w:cs="Century Schoolbook"/>
          <w:b/>
          <w:sz w:val="22"/>
        </w:rPr>
      </w:pPr>
      <w:r>
        <w:rPr>
          <w:rFonts w:cs="Century Schoolbook" w:ascii="Century Schoolbook" w:hAnsi="Century Schoolbook"/>
          <w:b/>
          <w:sz w:val="22"/>
        </w:rPr>
        <w:tab/>
        <w:t xml:space="preserve">Table B - Priorities for Competing </w:t>
      </w:r>
    </w:p>
    <w:p>
      <w:pPr>
        <w:pStyle w:val="Heading3"/>
        <w:tabs>
          <w:tab w:val="clear" w:pos="360"/>
          <w:tab w:val="clear" w:pos="1080"/>
          <w:tab w:val="left" w:pos="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end="0"/>
        <w:jc w:val="start"/>
        <w:rPr>
          <w:rFonts w:ascii="Century Schoolbook" w:hAnsi="Century Schoolbook" w:cs="Century Schoolbook"/>
          <w:b/>
          <w:sz w:val="22"/>
        </w:rPr>
      </w:pPr>
      <w:r>
        <w:rPr>
          <w:rFonts w:cs="Century Schoolbook" w:ascii="Century Schoolbook" w:hAnsi="Century Schoolbook"/>
          <w:b/>
          <w:sz w:val="22"/>
        </w:rPr>
        <w:tab/>
        <w:t xml:space="preserve">                     Reservation Requests</w:t>
      </w:r>
    </w:p>
    <w:p>
      <w:pPr>
        <w:pStyle w:val="Normal"/>
        <w:rPr>
          <w:rFonts w:ascii="Century Schoolbook" w:hAnsi="Century Schoolbook" w:cs="Century Schoolbook"/>
          <w:b/>
          <w:sz w:val="22"/>
        </w:rPr>
      </w:pPr>
      <w:r>
        <w:rPr>
          <w:rFonts w:cs="Century Schoolbook"/>
          <w:b/>
          <w:sz w:val="22"/>
        </w:rPr>
      </w:r>
    </w:p>
    <w:p>
      <w:pPr>
        <w:pStyle w:val="Heading"/>
        <w:numPr>
          <w:ilvl w:val="0"/>
          <w:numId w:val="6"/>
        </w:numPr>
        <w:spacing w:lineRule="auto" w:line="480"/>
        <w:jc w:val="start"/>
        <w:rPr>
          <w:rFonts w:ascii="Century Schoolbook" w:hAnsi="Century Schoolbook" w:cs="Century Schoolbook"/>
          <w:sz w:val="22"/>
        </w:rPr>
      </w:pPr>
      <w:r>
        <w:rPr>
          <w:rFonts w:cs="Century Schoolbook" w:ascii="Century Schoolbook" w:hAnsi="Century Schoolbook"/>
          <w:sz w:val="22"/>
        </w:rPr>
        <w:t>Remote Resources and Remote Loads</w:t>
      </w:r>
    </w:p>
    <w:p>
      <w:pPr>
        <w:pStyle w:val="Heading"/>
        <w:numPr>
          <w:ilvl w:val="0"/>
          <w:numId w:val="6"/>
        </w:numPr>
        <w:spacing w:lineRule="auto" w:line="480"/>
        <w:jc w:val="start"/>
        <w:rPr>
          <w:rFonts w:ascii="Century Schoolbook" w:hAnsi="Century Schoolbook" w:cs="Century Schoolbook"/>
          <w:sz w:val="22"/>
        </w:rPr>
      </w:pPr>
      <w:r>
        <w:rPr>
          <w:rFonts w:cs="Century Schoolbook" w:ascii="Century Schoolbook" w:hAnsi="Century Schoolbook"/>
          <w:sz w:val="22"/>
        </w:rPr>
        <w:t>Sheltering Basics</w:t>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t>V.</w:t>
        <w:tab/>
        <w:t>Redispatch and Curtailment Procedures</w:t>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t>VI.</w:t>
        <w:tab/>
        <w:t xml:space="preserve">Available Transfer Capability Methodology </w:t>
      </w:r>
    </w:p>
    <w:p>
      <w:pPr>
        <w:pStyle w:val="Heading"/>
        <w:numPr>
          <w:ilvl w:val="0"/>
          <w:numId w:val="5"/>
        </w:numPr>
        <w:spacing w:lineRule="auto" w:line="480"/>
        <w:jc w:val="start"/>
        <w:rPr>
          <w:rFonts w:ascii="Century Schoolbook" w:hAnsi="Century Schoolbook" w:cs="Century Schoolbook"/>
          <w:sz w:val="22"/>
        </w:rPr>
      </w:pPr>
      <w:r>
        <w:rPr>
          <w:rFonts w:cs="Century Schoolbook" w:ascii="Century Schoolbook" w:hAnsi="Century Schoolbook"/>
          <w:sz w:val="22"/>
        </w:rPr>
        <w:t>Customer Load and Resource</w:t>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r>
      <w:r>
        <w:br w:type="page"/>
      </w:r>
    </w:p>
    <w:p>
      <w:pPr>
        <w:pStyle w:val="Heading"/>
        <w:rPr>
          <w:rFonts w:ascii="Century Schoolbook" w:hAnsi="Century Schoolbook" w:cs="Century Schoolbook"/>
          <w:sz w:val="24"/>
        </w:rPr>
      </w:pPr>
      <w:r>
        <w:rPr>
          <w:rFonts w:cs="Century Schoolbook" w:ascii="Century Schoolbook" w:hAnsi="Century Schoolbook"/>
          <w:sz w:val="24"/>
        </w:rPr>
        <w:t>SECTION V</w:t>
      </w:r>
    </w:p>
    <w:p>
      <w:pPr>
        <w:pStyle w:val="Heading"/>
        <w:rPr>
          <w:rFonts w:ascii="Century Schoolbook" w:hAnsi="Century Schoolbook" w:cs="Century Schoolbook"/>
          <w:sz w:val="24"/>
        </w:rPr>
      </w:pPr>
      <w:r>
        <w:rPr>
          <w:rFonts w:cs="Century Schoolbook" w:ascii="Century Schoolbook" w:hAnsi="Century Schoolbook"/>
          <w:sz w:val="24"/>
        </w:rPr>
        <w:t>Redispatch and Curtailment Procedures</w:t>
      </w:r>
    </w:p>
    <w:p>
      <w:pPr>
        <w:pStyle w:val="Heading"/>
        <w:rPr>
          <w:rFonts w:ascii="Century Schoolbook" w:hAnsi="Century Schoolbook" w:cs="Century Schoolbook"/>
          <w:b w:val="false"/>
          <w:sz w:val="22"/>
        </w:rPr>
      </w:pPr>
      <w:r>
        <w:rPr>
          <w:rFonts w:cs="Century Schoolbook" w:ascii="Century Schoolbook" w:hAnsi="Century Schoolbook"/>
          <w:b w:val="false"/>
          <w:sz w:val="22"/>
        </w:rPr>
      </w:r>
    </w:p>
    <w:p>
      <w:pPr>
        <w:pStyle w:val="Normal"/>
        <w:tabs>
          <w:tab w:val="left" w:pos="720" w:leader="none"/>
        </w:tabs>
        <w:rPr>
          <w:sz w:val="22"/>
        </w:rPr>
      </w:pPr>
      <w:r>
        <w:rPr>
          <w:sz w:val="22"/>
        </w:rPr>
        <w:t xml:space="preserve">The Redispatch and Curtailment Procedures in place are designed to manage Available Transfer Capacity (ATC) and Transmission System overloads.  </w:t>
      </w:r>
    </w:p>
    <w:p>
      <w:pPr>
        <w:pStyle w:val="Normal"/>
        <w:tabs>
          <w:tab w:val="left" w:pos="720" w:leader="none"/>
        </w:tabs>
        <w:rPr>
          <w:sz w:val="22"/>
        </w:rPr>
      </w:pPr>
      <w:r>
        <w:rPr>
          <w:sz w:val="22"/>
        </w:rPr>
      </w:r>
    </w:p>
    <w:p>
      <w:pPr>
        <w:pStyle w:val="Normal"/>
        <w:numPr>
          <w:ilvl w:val="0"/>
          <w:numId w:val="2"/>
        </w:numPr>
        <w:tabs>
          <w:tab w:val="clear" w:pos="720"/>
          <w:tab w:val="left" w:pos="1440" w:leader="none"/>
        </w:tabs>
        <w:rPr>
          <w:b/>
          <w:sz w:val="22"/>
        </w:rPr>
      </w:pPr>
      <w:r>
        <w:rPr>
          <w:b/>
          <w:sz w:val="22"/>
        </w:rPr>
        <w:t>General Redispatch Principles</w:t>
      </w:r>
    </w:p>
    <w:p>
      <w:pPr>
        <w:pStyle w:val="Normal"/>
        <w:tabs>
          <w:tab w:val="left" w:pos="720" w:leader="none"/>
          <w:tab w:val="left" w:pos="1440" w:leader="none"/>
        </w:tabs>
        <w:rPr>
          <w:b/>
          <w:sz w:val="22"/>
        </w:rPr>
      </w:pPr>
      <w:r>
        <w:rPr>
          <w:b/>
          <w:sz w:val="22"/>
        </w:rPr>
      </w:r>
    </w:p>
    <w:p>
      <w:pPr>
        <w:pStyle w:val="Header"/>
        <w:widowControl w:val="false"/>
        <w:tabs>
          <w:tab w:val="clear" w:pos="4320"/>
          <w:tab w:val="clear" w:pos="8640"/>
          <w:tab w:val="left" w:pos="720" w:leader="none"/>
        </w:tabs>
        <w:ind w:hanging="720" w:start="1440" w:end="0"/>
        <w:rPr>
          <w:rFonts w:ascii="Century Schoolbook" w:hAnsi="Century Schoolbook" w:cs="Century Schoolbook"/>
          <w:sz w:val="22"/>
        </w:rPr>
      </w:pPr>
      <w:r>
        <w:rPr>
          <w:rFonts w:cs="Century Schoolbook" w:ascii="Century Schoolbook" w:hAnsi="Century Schoolbook"/>
          <w:sz w:val="22"/>
        </w:rPr>
        <w:t>(a)</w:t>
        <w:tab/>
        <w:t>All load and generation forecasts schedules and resource/generation uses and forecasts are subject to Curtailment (after BPAT requests Bonneville Power Administration Power Business Line (BPAP) to redispatch).</w:t>
      </w:r>
    </w:p>
    <w:p>
      <w:pPr>
        <w:pStyle w:val="Header"/>
        <w:widowControl w:val="false"/>
        <w:tabs>
          <w:tab w:val="clear" w:pos="4320"/>
          <w:tab w:val="clear" w:pos="8640"/>
          <w:tab w:val="left" w:pos="720" w:leader="none"/>
        </w:tabs>
        <w:ind w:hanging="720" w:start="1440" w:end="0"/>
        <w:rPr>
          <w:rFonts w:ascii="Century Schoolbook" w:hAnsi="Century Schoolbook" w:cs="Century Schoolbook"/>
          <w:sz w:val="22"/>
        </w:rPr>
      </w:pPr>
      <w:r>
        <w:rPr>
          <w:rFonts w:cs="Century Schoolbook" w:ascii="Century Schoolbook" w:hAnsi="Century Schoolbook"/>
          <w:sz w:val="22"/>
        </w:rPr>
      </w:r>
    </w:p>
    <w:p>
      <w:pPr>
        <w:pStyle w:val="Header"/>
        <w:widowControl w:val="false"/>
        <w:tabs>
          <w:tab w:val="clear" w:pos="4320"/>
          <w:tab w:val="clear" w:pos="8640"/>
          <w:tab w:val="left" w:pos="720" w:leader="none"/>
        </w:tabs>
        <w:ind w:hanging="720" w:start="1440" w:end="0"/>
        <w:rPr>
          <w:rFonts w:ascii="Century Schoolbook" w:hAnsi="Century Schoolbook" w:cs="Century Schoolbook"/>
          <w:sz w:val="22"/>
        </w:rPr>
      </w:pPr>
      <w:r>
        <w:rPr>
          <w:rFonts w:cs="Century Schoolbook" w:ascii="Century Schoolbook" w:hAnsi="Century Schoolbook"/>
          <w:sz w:val="22"/>
        </w:rPr>
        <w:t>(b)</w:t>
        <w:tab/>
        <w:t xml:space="preserve">Upon request by BPAT, Network (NT) Transmission Customers must submit or cause to be submitted all the data and information necessary for BPAT to implement Curtailment procedures.  This required data may include, but may not necessarily be limited to, forecasts of Network Resource output, load forecasts, and schedules.  </w:t>
      </w:r>
    </w:p>
    <w:p>
      <w:pPr>
        <w:pStyle w:val="Header"/>
        <w:widowControl w:val="false"/>
        <w:tabs>
          <w:tab w:val="clear" w:pos="4320"/>
          <w:tab w:val="clear" w:pos="8640"/>
        </w:tabs>
        <w:ind w:hanging="720" w:start="1440" w:end="0"/>
        <w:rPr>
          <w:rFonts w:ascii="Century Schoolbook" w:hAnsi="Century Schoolbook" w:cs="Century Schoolbook"/>
          <w:sz w:val="22"/>
        </w:rPr>
      </w:pPr>
      <w:r>
        <w:rPr>
          <w:rFonts w:cs="Century Schoolbook" w:ascii="Century Schoolbook" w:hAnsi="Century Schoolbook"/>
          <w:sz w:val="22"/>
        </w:rPr>
      </w:r>
    </w:p>
    <w:p>
      <w:pPr>
        <w:pStyle w:val="Header"/>
        <w:widowControl w:val="false"/>
        <w:tabs>
          <w:tab w:val="clear" w:pos="4320"/>
          <w:tab w:val="clear" w:pos="8640"/>
        </w:tabs>
        <w:ind w:hanging="720" w:start="1440" w:end="0"/>
        <w:rPr>
          <w:rFonts w:ascii="Century Schoolbook" w:hAnsi="Century Schoolbook" w:cs="Century Schoolbook"/>
          <w:sz w:val="22"/>
        </w:rPr>
      </w:pPr>
      <w:r>
        <w:rPr>
          <w:rFonts w:cs="Century Schoolbook" w:ascii="Century Schoolbook" w:hAnsi="Century Schoolbook"/>
          <w:sz w:val="22"/>
        </w:rPr>
        <w:t>(c)</w:t>
        <w:tab/>
        <w:t xml:space="preserve">The Transmission Customer must schedule all Point-to-Point (PTP) transactions. </w:t>
      </w:r>
    </w:p>
    <w:p>
      <w:pPr>
        <w:pStyle w:val="Header"/>
        <w:widowControl w:val="false"/>
        <w:tabs>
          <w:tab w:val="clear" w:pos="4320"/>
          <w:tab w:val="clear" w:pos="8640"/>
        </w:tabs>
        <w:ind w:start="1440" w:end="0"/>
        <w:rPr>
          <w:rFonts w:ascii="Century Schoolbook" w:hAnsi="Century Schoolbook" w:cs="Century Schoolbook"/>
          <w:sz w:val="22"/>
        </w:rPr>
      </w:pPr>
      <w:r>
        <w:rPr>
          <w:rFonts w:cs="Century Schoolbook" w:ascii="Century Schoolbook" w:hAnsi="Century Schoolbook"/>
          <w:sz w:val="22"/>
        </w:rPr>
      </w:r>
    </w:p>
    <w:p>
      <w:pPr>
        <w:pStyle w:val="Header"/>
        <w:widowControl w:val="false"/>
        <w:tabs>
          <w:tab w:val="clear" w:pos="4320"/>
          <w:tab w:val="clear" w:pos="8640"/>
          <w:tab w:val="left" w:pos="720" w:leader="none"/>
        </w:tabs>
        <w:ind w:hanging="1440" w:start="1440" w:end="0"/>
        <w:rPr>
          <w:rFonts w:ascii="Century Schoolbook" w:hAnsi="Century Schoolbook" w:cs="Century Schoolbook"/>
          <w:sz w:val="22"/>
        </w:rPr>
      </w:pPr>
      <w:r>
        <w:rPr>
          <w:rFonts w:cs="Century Schoolbook" w:ascii="Century Schoolbook" w:hAnsi="Century Schoolbook"/>
          <w:sz w:val="22"/>
        </w:rPr>
        <w:tab/>
        <w:t>(d)</w:t>
        <w:tab/>
        <w:t>NT Transmission Customers must submit schedules or estimates (proxies) for schedules) as determined by BPAT, when:</w:t>
      </w:r>
    </w:p>
    <w:p>
      <w:pPr>
        <w:pStyle w:val="Header"/>
        <w:widowControl w:val="false"/>
        <w:tabs>
          <w:tab w:val="clear" w:pos="4320"/>
          <w:tab w:val="clear" w:pos="8640"/>
          <w:tab w:val="left" w:pos="720" w:leader="none"/>
        </w:tabs>
        <w:rPr>
          <w:rFonts w:ascii="Century Schoolbook" w:hAnsi="Century Schoolbook" w:cs="Century Schoolbook"/>
          <w:sz w:val="22"/>
        </w:rPr>
      </w:pPr>
      <w:r>
        <w:rPr>
          <w:rFonts w:cs="Century Schoolbook" w:ascii="Century Schoolbook" w:hAnsi="Century Schoolbook"/>
          <w:sz w:val="22"/>
        </w:rPr>
      </w:r>
    </w:p>
    <w:p>
      <w:pPr>
        <w:pStyle w:val="Header"/>
        <w:widowControl w:val="false"/>
        <w:numPr>
          <w:ilvl w:val="0"/>
          <w:numId w:val="3"/>
        </w:numPr>
        <w:tabs>
          <w:tab w:val="clear" w:pos="4320"/>
          <w:tab w:val="clear" w:pos="8640"/>
          <w:tab w:val="left" w:pos="720" w:leader="none"/>
        </w:tabs>
        <w:rPr>
          <w:rFonts w:ascii="Century Schoolbook" w:hAnsi="Century Schoolbook" w:cs="Century Schoolbook"/>
          <w:sz w:val="22"/>
        </w:rPr>
      </w:pPr>
      <w:r>
        <w:rPr>
          <w:rFonts w:cs="Century Schoolbook" w:ascii="Century Schoolbook" w:hAnsi="Century Schoolbook"/>
          <w:sz w:val="22"/>
        </w:rPr>
        <w:t>the power is originating from, passing through, or terminating in another Control Area; or</w:t>
      </w:r>
    </w:p>
    <w:p>
      <w:pPr>
        <w:pStyle w:val="Header"/>
        <w:widowControl w:val="false"/>
        <w:tabs>
          <w:tab w:val="clear" w:pos="4320"/>
          <w:tab w:val="clear" w:pos="8640"/>
          <w:tab w:val="left" w:pos="720" w:leader="none"/>
        </w:tabs>
        <w:rPr>
          <w:rFonts w:ascii="Century Schoolbook" w:hAnsi="Century Schoolbook" w:cs="Century Schoolbook"/>
          <w:sz w:val="22"/>
        </w:rPr>
      </w:pPr>
      <w:r>
        <w:rPr>
          <w:rFonts w:cs="Century Schoolbook" w:ascii="Century Schoolbook" w:hAnsi="Century Schoolbook"/>
          <w:sz w:val="22"/>
        </w:rPr>
      </w:r>
    </w:p>
    <w:p>
      <w:pPr>
        <w:pStyle w:val="Header"/>
        <w:widowControl w:val="false"/>
        <w:numPr>
          <w:ilvl w:val="0"/>
          <w:numId w:val="3"/>
        </w:numPr>
        <w:tabs>
          <w:tab w:val="clear" w:pos="4320"/>
          <w:tab w:val="clear" w:pos="8640"/>
          <w:tab w:val="left" w:pos="720" w:leader="none"/>
        </w:tabs>
        <w:rPr>
          <w:rFonts w:ascii="Century Schoolbook" w:hAnsi="Century Schoolbook" w:cs="Century Schoolbook"/>
          <w:sz w:val="22"/>
        </w:rPr>
      </w:pPr>
      <w:r>
        <w:rPr>
          <w:rFonts w:cs="Century Schoolbook" w:ascii="Century Schoolbook" w:hAnsi="Century Schoolbook"/>
          <w:sz w:val="22"/>
        </w:rPr>
        <w:t>the power is being transmitted over a constrained path within BPAT’s Control Area; or</w:t>
      </w:r>
    </w:p>
    <w:p>
      <w:pPr>
        <w:pStyle w:val="Header"/>
        <w:widowControl w:val="false"/>
        <w:tabs>
          <w:tab w:val="clear" w:pos="4320"/>
          <w:tab w:val="clear" w:pos="8640"/>
          <w:tab w:val="left" w:pos="720" w:leader="none"/>
        </w:tabs>
        <w:rPr>
          <w:rFonts w:ascii="Century Schoolbook" w:hAnsi="Century Schoolbook" w:cs="Century Schoolbook"/>
          <w:sz w:val="22"/>
        </w:rPr>
      </w:pPr>
      <w:r>
        <w:rPr>
          <w:rFonts w:cs="Century Schoolbook" w:ascii="Century Schoolbook" w:hAnsi="Century Schoolbook"/>
          <w:sz w:val="22"/>
        </w:rPr>
      </w:r>
    </w:p>
    <w:p>
      <w:pPr>
        <w:pStyle w:val="Header"/>
        <w:widowControl w:val="false"/>
        <w:numPr>
          <w:ilvl w:val="0"/>
          <w:numId w:val="3"/>
        </w:numPr>
        <w:tabs>
          <w:tab w:val="clear" w:pos="4320"/>
          <w:tab w:val="clear" w:pos="8640"/>
          <w:tab w:val="left" w:pos="720" w:leader="none"/>
        </w:tabs>
        <w:rPr>
          <w:rFonts w:ascii="Century Schoolbook" w:hAnsi="Century Schoolbook" w:cs="Century Schoolbook"/>
          <w:sz w:val="22"/>
        </w:rPr>
      </w:pPr>
      <w:r>
        <w:rPr>
          <w:rFonts w:cs="Century Schoolbook" w:ascii="Century Schoolbook" w:hAnsi="Century Schoolbook"/>
          <w:sz w:val="22"/>
        </w:rPr>
        <w:t>the power is being delivered to or from designated systems within the BPAT Control Area.</w:t>
      </w:r>
    </w:p>
    <w:p>
      <w:pPr>
        <w:pStyle w:val="Header"/>
        <w:widowControl w:val="false"/>
        <w:tabs>
          <w:tab w:val="clear" w:pos="4320"/>
          <w:tab w:val="clear" w:pos="8640"/>
          <w:tab w:val="left" w:pos="720" w:leader="none"/>
        </w:tabs>
        <w:rPr>
          <w:rFonts w:ascii="Century Schoolbook" w:hAnsi="Century Schoolbook" w:cs="Century Schoolbook"/>
          <w:sz w:val="22"/>
        </w:rPr>
      </w:pPr>
      <w:r>
        <w:rPr>
          <w:rFonts w:cs="Century Schoolbook" w:ascii="Century Schoolbook" w:hAnsi="Century Schoolbook"/>
          <w:sz w:val="22"/>
        </w:rPr>
      </w:r>
    </w:p>
    <w:p>
      <w:pPr>
        <w:pStyle w:val="Normal"/>
        <w:numPr>
          <w:ilvl w:val="0"/>
          <w:numId w:val="2"/>
        </w:numPr>
        <w:rPr>
          <w:b/>
          <w:sz w:val="22"/>
        </w:rPr>
      </w:pPr>
      <w:r>
        <w:rPr>
          <w:b/>
          <w:sz w:val="22"/>
        </w:rPr>
        <w:t>Redispatch/Curtailment Procedures</w:t>
      </w:r>
    </w:p>
    <w:p>
      <w:pPr>
        <w:pStyle w:val="Normal"/>
        <w:tabs>
          <w:tab w:val="left" w:pos="720" w:leader="none"/>
        </w:tabs>
        <w:rPr>
          <w:b/>
          <w:sz w:val="22"/>
        </w:rPr>
      </w:pPr>
      <w:r>
        <w:rPr>
          <w:b/>
          <w:sz w:val="22"/>
        </w:rPr>
      </w:r>
    </w:p>
    <w:p>
      <w:pPr>
        <w:pStyle w:val="BodyTextIndent"/>
        <w:ind w:hanging="720" w:start="1440" w:end="0"/>
        <w:rPr>
          <w:rFonts w:ascii="Century Schoolbook" w:hAnsi="Century Schoolbook" w:cs="Century Schoolbook"/>
          <w:sz w:val="22"/>
        </w:rPr>
      </w:pPr>
      <w:r>
        <w:rPr>
          <w:rFonts w:cs="Century Schoolbook" w:ascii="Century Schoolbook" w:hAnsi="Century Schoolbook"/>
          <w:sz w:val="22"/>
        </w:rPr>
        <w:t>(a)</w:t>
        <w:tab/>
        <w:t>The TCH must ensure that the Nework Rsource owners submit hourly estimated generation operation profiles during the preschedule period when requested by BPAT.</w:t>
      </w:r>
    </w:p>
    <w:p>
      <w:pPr>
        <w:pStyle w:val="BodyTextIndent"/>
        <w:ind w:hanging="720" w:start="1440" w:end="0"/>
        <w:rPr>
          <w:rFonts w:ascii="Century Schoolbook" w:hAnsi="Century Schoolbook" w:cs="Century Schoolbook"/>
          <w:sz w:val="22"/>
        </w:rPr>
      </w:pPr>
      <w:r>
        <w:rPr>
          <w:rFonts w:cs="Century Schoolbook" w:ascii="Century Schoolbook" w:hAnsi="Century Schoolbook"/>
          <w:sz w:val="22"/>
        </w:rPr>
      </w:r>
    </w:p>
    <w:p>
      <w:pPr>
        <w:pStyle w:val="BodyTextIndent"/>
        <w:ind w:hanging="720" w:start="1440" w:end="0"/>
        <w:rPr>
          <w:rFonts w:ascii="Century Schoolbook" w:hAnsi="Century Schoolbook" w:cs="Century Schoolbook"/>
          <w:sz w:val="22"/>
        </w:rPr>
      </w:pPr>
      <w:r>
        <w:rPr>
          <w:rFonts w:cs="Century Schoolbook" w:ascii="Century Schoolbook" w:hAnsi="Century Schoolbook"/>
          <w:sz w:val="22"/>
        </w:rPr>
        <w:t>(b)</w:t>
        <w:tab/>
        <w:t>Redispatch will not result in changes to the original schedules or E-Tags.</w:t>
      </w:r>
    </w:p>
    <w:p>
      <w:pPr>
        <w:pStyle w:val="BodyTextIndent"/>
        <w:ind w:hanging="720" w:start="1440" w:end="0"/>
        <w:rPr>
          <w:rFonts w:ascii="Century Schoolbook" w:hAnsi="Century Schoolbook" w:cs="Century Schoolbook"/>
          <w:sz w:val="22"/>
        </w:rPr>
      </w:pPr>
      <w:r>
        <w:rPr>
          <w:rFonts w:cs="Century Schoolbook" w:ascii="Century Schoolbook" w:hAnsi="Century Schoolbook"/>
          <w:sz w:val="22"/>
        </w:rPr>
      </w:r>
    </w:p>
    <w:p>
      <w:pPr>
        <w:pStyle w:val="BodyTextIndent"/>
        <w:ind w:hanging="720" w:start="1440" w:end="0"/>
        <w:rPr>
          <w:rFonts w:ascii="Century Schoolbook" w:hAnsi="Century Schoolbook" w:cs="Century Schoolbook"/>
          <w:sz w:val="22"/>
        </w:rPr>
      </w:pPr>
      <w:r>
        <w:rPr>
          <w:rFonts w:cs="Century Schoolbook" w:ascii="Century Schoolbook" w:hAnsi="Century Schoolbook"/>
          <w:sz w:val="22"/>
        </w:rPr>
        <w:t>(c)</w:t>
        <w:tab/>
        <w:t xml:space="preserve">All redispatch will be implemented through BPAP adjustment accounts.  The adjustment accounts are included in the controller totals.  </w:t>
      </w:r>
    </w:p>
    <w:p>
      <w:pPr>
        <w:pStyle w:val="BodyTextIndent"/>
        <w:ind w:hanging="720" w:start="1440" w:end="0"/>
        <w:rPr>
          <w:rFonts w:ascii="Century Schoolbook" w:hAnsi="Century Schoolbook" w:cs="Century Schoolbook"/>
          <w:sz w:val="22"/>
        </w:rPr>
      </w:pPr>
      <w:r>
        <w:rPr>
          <w:rFonts w:cs="Century Schoolbook" w:ascii="Century Schoolbook" w:hAnsi="Century Schoolbook"/>
          <w:sz w:val="22"/>
        </w:rPr>
      </w:r>
    </w:p>
    <w:p>
      <w:pPr>
        <w:pStyle w:val="BodyTextIndent"/>
        <w:ind w:hanging="720" w:start="1440" w:end="0"/>
        <w:rPr>
          <w:rFonts w:ascii="Century Schoolbook" w:hAnsi="Century Schoolbook" w:cs="Century Schoolbook"/>
          <w:sz w:val="22"/>
        </w:rPr>
      </w:pPr>
      <w:r>
        <w:rPr>
          <w:rFonts w:cs="Century Schoolbook" w:ascii="Century Schoolbook" w:hAnsi="Century Schoolbook"/>
          <w:sz w:val="22"/>
        </w:rPr>
        <w:t>(d)</w:t>
        <w:tab/>
        <w:t xml:space="preserve">All firm and non-firm schedules along with the total transmission rights allocated for the preschedule day will be analyzed by BPAT to determine the ATC based on all preschedules submitted by 2 p.m. or two hours after the California Independent System Operator (ISO) posts its final schedules (whichever is later).  The redispatch analysis will be run about 30 minutes later. </w:t>
      </w:r>
    </w:p>
    <w:p>
      <w:pPr>
        <w:pStyle w:val="BodyTextIndent"/>
        <w:ind w:hanging="720" w:start="1440" w:end="0"/>
        <w:rPr>
          <w:rFonts w:ascii="Century Schoolbook" w:hAnsi="Century Schoolbook" w:cs="Century Schoolbook"/>
          <w:sz w:val="22"/>
        </w:rPr>
      </w:pPr>
      <w:r>
        <w:rPr>
          <w:rFonts w:cs="Century Schoolbook" w:ascii="Century Schoolbook" w:hAnsi="Century Schoolbook"/>
          <w:sz w:val="22"/>
        </w:rPr>
      </w:r>
    </w:p>
    <w:p>
      <w:pPr>
        <w:pStyle w:val="BodyTextIndent"/>
        <w:numPr>
          <w:ilvl w:val="0"/>
          <w:numId w:val="7"/>
        </w:numPr>
        <w:rPr>
          <w:rFonts w:ascii="Century Schoolbook" w:hAnsi="Century Schoolbook" w:cs="Century Schoolbook"/>
          <w:sz w:val="22"/>
        </w:rPr>
      </w:pPr>
      <w:r>
        <w:rPr>
          <w:rFonts w:cs="Century Schoolbook" w:ascii="Century Schoolbook" w:hAnsi="Century Schoolbook"/>
          <w:sz w:val="22"/>
        </w:rPr>
        <w:t xml:space="preserve">BPAT will Curtail all PTP non-firm schedules and then cut all NT non-firm schedules, then request redispatch, then do pro rata firm Curtailments. </w:t>
      </w:r>
    </w:p>
    <w:p>
      <w:pPr>
        <w:pStyle w:val="BodyTextIndent"/>
        <w:ind w:start="0" w:end="0"/>
        <w:rPr>
          <w:rFonts w:ascii="Century Schoolbook" w:hAnsi="Century Schoolbook" w:cs="Century Schoolbook"/>
          <w:sz w:val="22"/>
        </w:rPr>
      </w:pPr>
      <w:r>
        <w:rPr>
          <w:rFonts w:cs="Century Schoolbook" w:ascii="Century Schoolbook" w:hAnsi="Century Schoolbook"/>
          <w:sz w:val="22"/>
        </w:rPr>
      </w:r>
    </w:p>
    <w:p>
      <w:pPr>
        <w:pStyle w:val="BodyTextIndent"/>
        <w:numPr>
          <w:ilvl w:val="0"/>
          <w:numId w:val="7"/>
        </w:numPr>
        <w:tabs>
          <w:tab w:val="left" w:pos="720" w:leader="none"/>
        </w:tabs>
        <w:rPr>
          <w:rFonts w:ascii="Century Schoolbook" w:hAnsi="Century Schoolbook" w:cs="Century Schoolbook"/>
          <w:sz w:val="22"/>
        </w:rPr>
      </w:pPr>
      <w:r>
        <w:rPr>
          <w:rFonts w:cs="Century Schoolbook" w:ascii="Century Schoolbook" w:hAnsi="Century Schoolbook"/>
          <w:sz w:val="22"/>
        </w:rPr>
        <w:t>Curtailment Priorities</w:t>
      </w:r>
    </w:p>
    <w:p>
      <w:pPr>
        <w:pStyle w:val="BodyTextIndent"/>
        <w:tabs>
          <w:tab w:val="left" w:pos="720" w:leader="none"/>
        </w:tabs>
        <w:ind w:start="0" w:end="0"/>
        <w:rPr>
          <w:rFonts w:ascii="Century Schoolbook" w:hAnsi="Century Schoolbook" w:cs="Century Schoolbook"/>
          <w:b/>
          <w:sz w:val="22"/>
        </w:rPr>
      </w:pPr>
      <w:r>
        <w:rPr>
          <w:rFonts w:cs="Century Schoolbook" w:ascii="Century Schoolbook" w:hAnsi="Century Schoolbook"/>
          <w:b/>
          <w:sz w:val="22"/>
        </w:rPr>
      </w:r>
    </w:p>
    <w:p>
      <w:pPr>
        <w:pStyle w:val="BodyTextIndent"/>
        <w:tabs>
          <w:tab w:val="left" w:pos="720" w:leader="none"/>
          <w:tab w:val="left" w:pos="2160" w:leader="none"/>
        </w:tabs>
        <w:ind w:hanging="720" w:start="2160" w:end="0"/>
        <w:rPr>
          <w:rFonts w:ascii="Century Schoolbook" w:hAnsi="Century Schoolbook" w:cs="Century Schoolbook"/>
          <w:sz w:val="22"/>
        </w:rPr>
      </w:pPr>
      <w:r>
        <w:rPr>
          <w:rFonts w:cs="Century Schoolbook" w:ascii="Century Schoolbook" w:hAnsi="Century Schoolbook"/>
          <w:sz w:val="22"/>
        </w:rPr>
        <w:t>Lowest to Highest:</w:t>
      </w:r>
    </w:p>
    <w:p>
      <w:pPr>
        <w:pStyle w:val="Normal"/>
        <w:tabs>
          <w:tab w:val="left" w:pos="720" w:leader="none"/>
          <w:tab w:val="left" w:pos="2160" w:leader="none"/>
        </w:tabs>
        <w:ind w:hanging="720" w:start="2160" w:end="0"/>
        <w:rPr>
          <w:rFonts w:ascii="Century Schoolbook" w:hAnsi="Century Schoolbook" w:cs="Century Schoolbook"/>
          <w:sz w:val="22"/>
        </w:rPr>
      </w:pPr>
      <w:r>
        <w:rPr>
          <w:rFonts w:cs="Century Schoolbook"/>
          <w:sz w:val="22"/>
        </w:rPr>
      </w:r>
    </w:p>
    <w:p>
      <w:pPr>
        <w:pStyle w:val="Normal"/>
        <w:numPr>
          <w:ilvl w:val="0"/>
          <w:numId w:val="8"/>
        </w:numPr>
        <w:tabs>
          <w:tab w:val="left" w:pos="720" w:leader="none"/>
        </w:tabs>
        <w:rPr>
          <w:sz w:val="22"/>
        </w:rPr>
      </w:pPr>
      <w:r>
        <w:rPr>
          <w:sz w:val="22"/>
        </w:rPr>
        <w:t xml:space="preserve">Secondary Hourly Non-Firm PTP Transmission Service (Non-Firm) </w:t>
      </w:r>
    </w:p>
    <w:p>
      <w:pPr>
        <w:pStyle w:val="Normal"/>
        <w:numPr>
          <w:ilvl w:val="0"/>
          <w:numId w:val="8"/>
        </w:numPr>
        <w:tabs>
          <w:tab w:val="left" w:pos="720" w:leader="none"/>
        </w:tabs>
        <w:rPr>
          <w:sz w:val="22"/>
        </w:rPr>
      </w:pPr>
      <w:r>
        <w:rPr>
          <w:sz w:val="22"/>
        </w:rPr>
        <w:t>Primary Hourly Non-Firm (lowest price cut first)</w:t>
      </w:r>
    </w:p>
    <w:p>
      <w:pPr>
        <w:pStyle w:val="Normal"/>
        <w:numPr>
          <w:ilvl w:val="0"/>
          <w:numId w:val="8"/>
        </w:numPr>
        <w:tabs>
          <w:tab w:val="left" w:pos="720" w:leader="none"/>
        </w:tabs>
        <w:rPr>
          <w:sz w:val="22"/>
        </w:rPr>
      </w:pPr>
      <w:r>
        <w:rPr>
          <w:sz w:val="22"/>
        </w:rPr>
        <w:t>Flexible daily Non-Firm first by duration then by price (duration is measured from start date to stop date)</w:t>
      </w:r>
    </w:p>
    <w:p>
      <w:pPr>
        <w:pStyle w:val="Normal"/>
        <w:tabs>
          <w:tab w:val="left" w:pos="720" w:leader="none"/>
        </w:tabs>
        <w:rPr>
          <w:sz w:val="22"/>
        </w:rPr>
      </w:pPr>
      <w:r>
        <w:rPr>
          <w:sz w:val="22"/>
        </w:rPr>
        <w:tab/>
        <w:tab/>
        <w:t>(iv)</w:t>
        <w:tab/>
        <w:t>Flexible weekly Non-Firm first by duration then by price</w:t>
      </w:r>
    </w:p>
    <w:p>
      <w:pPr>
        <w:pStyle w:val="Normal"/>
        <w:tabs>
          <w:tab w:val="clear" w:pos="720"/>
          <w:tab w:val="left" w:pos="1440" w:leader="none"/>
        </w:tabs>
        <w:rPr>
          <w:sz w:val="22"/>
        </w:rPr>
      </w:pPr>
      <w:r>
        <w:rPr>
          <w:sz w:val="22"/>
        </w:rPr>
        <w:tab/>
        <w:t xml:space="preserve">(v) </w:t>
        <w:tab/>
        <w:t>Flexible monthly Non-Firm first by duration then by price</w:t>
      </w:r>
    </w:p>
    <w:p>
      <w:pPr>
        <w:pStyle w:val="Normal"/>
        <w:tabs>
          <w:tab w:val="clear" w:pos="720"/>
          <w:tab w:val="left" w:pos="1440" w:leader="none"/>
        </w:tabs>
        <w:rPr>
          <w:sz w:val="22"/>
        </w:rPr>
      </w:pPr>
      <w:r>
        <w:rPr>
          <w:sz w:val="22"/>
        </w:rPr>
        <w:tab/>
        <w:t>(vi)</w:t>
        <w:tab/>
        <w:t>Hourly non-firm for NT Transmission Customers</w:t>
      </w:r>
    </w:p>
    <w:p>
      <w:pPr>
        <w:pStyle w:val="Normal"/>
        <w:tabs>
          <w:tab w:val="clear" w:pos="720"/>
          <w:tab w:val="left" w:pos="1440" w:leader="none"/>
        </w:tabs>
        <w:rPr>
          <w:sz w:val="22"/>
        </w:rPr>
      </w:pPr>
      <w:r>
        <w:rPr>
          <w:sz w:val="22"/>
        </w:rPr>
        <w:tab/>
        <w:t>(vii)</w:t>
        <w:tab/>
        <w:t>Firm schedules</w:t>
      </w:r>
    </w:p>
    <w:p>
      <w:pPr>
        <w:pStyle w:val="BodyTextIndent"/>
        <w:tabs>
          <w:tab w:val="left" w:pos="720" w:leader="none"/>
        </w:tabs>
        <w:ind w:start="0" w:end="0"/>
        <w:rPr>
          <w:rFonts w:ascii="Century Schoolbook" w:hAnsi="Century Schoolbook" w:cs="Century Schoolbook"/>
          <w:b/>
          <w:sz w:val="22"/>
        </w:rPr>
      </w:pPr>
      <w:r>
        <w:rPr>
          <w:rFonts w:cs="Century Schoolbook" w:ascii="Century Schoolbook" w:hAnsi="Century Schoolbook"/>
          <w:b/>
          <w:sz w:val="22"/>
        </w:rPr>
      </w:r>
    </w:p>
    <w:p>
      <w:pPr>
        <w:pStyle w:val="Header"/>
        <w:widowControl w:val="false"/>
        <w:tabs>
          <w:tab w:val="clear" w:pos="4320"/>
          <w:tab w:val="clear" w:pos="8640"/>
          <w:tab w:val="left" w:pos="720" w:leader="none"/>
        </w:tabs>
        <w:ind w:hanging="1440" w:start="1440" w:end="0"/>
        <w:rPr>
          <w:rFonts w:ascii="Century Schoolbook" w:hAnsi="Century Schoolbook" w:cs="Century Schoolbook"/>
          <w:sz w:val="22"/>
        </w:rPr>
      </w:pPr>
      <w:r>
        <w:rPr>
          <w:rFonts w:cs="Century Schoolbook" w:ascii="Century Schoolbook" w:hAnsi="Century Schoolbook"/>
          <w:sz w:val="22"/>
        </w:rPr>
        <w:tab/>
        <w:t>(g)</w:t>
        <w:tab/>
        <w:t>System emergencies or problems may require dispatchers and schedulers to deviate from the redispatch principles (See Attachment K of  BPAT’s proposed 2002 Open Access Transmission Tariff), in order to maintain reliability.</w:t>
      </w:r>
    </w:p>
    <w:p>
      <w:pPr>
        <w:pStyle w:val="Header"/>
        <w:widowControl w:val="false"/>
        <w:tabs>
          <w:tab w:val="clear" w:pos="4320"/>
          <w:tab w:val="clear" w:pos="8640"/>
          <w:tab w:val="left" w:pos="720" w:leader="none"/>
        </w:tabs>
        <w:ind w:hanging="1440" w:start="144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hanging="720" w:start="720" w:end="0"/>
        <w:rPr>
          <w:rFonts w:ascii="Century Schoolbook" w:hAnsi="Century Schoolbook" w:cs="Century Schoolbook"/>
          <w:sz w:val="22"/>
        </w:rPr>
      </w:pPr>
      <w:r>
        <w:rPr>
          <w:rFonts w:cs="Century Schoolbook" w:ascii="Century Schoolbook" w:hAnsi="Century Schoolbook"/>
          <w:b/>
          <w:sz w:val="22"/>
        </w:rPr>
        <w:t>3.</w:t>
        <w:tab/>
        <w:t>Current Day, Hour Ahead, and Emergency Congestion Management Rules (accommodates load changes for NT Transmission Customers)</w:t>
      </w:r>
    </w:p>
    <w:p>
      <w:pPr>
        <w:pStyle w:val="BodyTextIndent"/>
        <w:tabs>
          <w:tab w:val="left" w:pos="720" w:leader="none"/>
        </w:tabs>
        <w:ind w:start="144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hanging="1440" w:start="1440" w:end="0"/>
        <w:rPr>
          <w:rFonts w:ascii="Century Schoolbook" w:hAnsi="Century Schoolbook" w:cs="Century Schoolbook"/>
          <w:b/>
          <w:sz w:val="22"/>
        </w:rPr>
      </w:pPr>
      <w:r>
        <w:rPr>
          <w:rFonts w:cs="Century Schoolbook" w:ascii="Century Schoolbook" w:hAnsi="Century Schoolbook"/>
          <w:sz w:val="22"/>
        </w:rPr>
        <w:tab/>
        <w:t>(a)</w:t>
        <w:tab/>
        <w:t xml:space="preserve">Requested real time schedule changes must be submitted no later than 20 minutes prior to the hour of delivery for PTP, Integrated Resources (IR), and Formula Power Transmission (FPT) Transmission Customers to utilize their unused firm capacity. </w:t>
      </w:r>
    </w:p>
    <w:p>
      <w:pPr>
        <w:pStyle w:val="BodyTextIndent"/>
        <w:tabs>
          <w:tab w:val="left" w:pos="720" w:leader="none"/>
        </w:tabs>
        <w:ind w:start="0" w:end="0"/>
        <w:rPr>
          <w:rFonts w:ascii="Century Schoolbook" w:hAnsi="Century Schoolbook" w:eastAsia="Century Schoolbook" w:cs="Century Schoolbook"/>
          <w:b/>
          <w:sz w:val="22"/>
        </w:rPr>
      </w:pPr>
      <w:r>
        <w:rPr>
          <w:rFonts w:eastAsia="Century Schoolbook" w:cs="Century Schoolbook" w:ascii="Century Schoolbook" w:hAnsi="Century Schoolbook"/>
          <w:b/>
          <w:sz w:val="22"/>
        </w:rPr>
        <w:t xml:space="preserve"> </w:t>
      </w:r>
    </w:p>
    <w:p>
      <w:pPr>
        <w:pStyle w:val="Normal"/>
        <w:ind w:hanging="720" w:start="1440" w:end="0"/>
        <w:rPr>
          <w:sz w:val="22"/>
        </w:rPr>
      </w:pPr>
      <w:r>
        <w:rPr>
          <w:sz w:val="22"/>
        </w:rPr>
        <w:t>(b)</w:t>
        <w:tab/>
        <w:t xml:space="preserve"> In real time, BPAT will employ Curtailment procedures if the level of desired schedules across a constrained path exceeds BPAT’s transmission capacity on the path.  In non</w:t>
        <w:noBreakHyphen/>
        <w:t>emergency situations, all firm schedules will be Curtailed on a pro rata basis.  In emergency situations, BPAT may not have enough time to implement a pro rata Curtailment.  In those circumstances, BPAT will coordinate schedule changes or generation changes as necessary in order to maintain system reliability (situation specific).  Command and control Curtailments (BPAT dictates) should last no more than two hours after the start of the emergency.  Pro rata Curtailments will be used, if necessary, beyond that time.</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720"/>
      </w:pPr>
      <w:rPr/>
    </w:lvl>
    <w:lvl w:ilvl="1">
      <w:start w:val="2"/>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5">
    <w:lvl w:ilvl="0">
      <w:start w:val="7"/>
      <w:numFmt w:val="upperRoman"/>
      <w:lvlText w:val="%1."/>
      <w:lvlJc w:val="start"/>
      <w:pPr>
        <w:tabs>
          <w:tab w:val="num" w:pos="720"/>
        </w:tabs>
        <w:ind w:start="720" w:hanging="720"/>
      </w:pPr>
      <w:rPr/>
    </w:lvl>
  </w:abstractNum>
  <w:abstractNum w:abstractNumId="6">
    <w:lvl w:ilvl="0">
      <w:start w:val="1"/>
      <w:numFmt w:val="upperRoman"/>
      <w:lvlText w:val="%1."/>
      <w:lvlJc w:val="start"/>
      <w:pPr>
        <w:tabs>
          <w:tab w:val="num" w:pos="720"/>
        </w:tabs>
        <w:ind w:start="720" w:hanging="720"/>
      </w:pPr>
      <w:rPr/>
    </w:lvl>
    <w:lvl w:ilvl="1">
      <w:start w:val="1"/>
      <w:isLgl/>
      <w:numFmt w:val="decimal"/>
      <w:lvlText w:val="%1.%2"/>
      <w:lvlJc w:val="start"/>
      <w:pPr>
        <w:tabs>
          <w:tab w:val="num" w:pos="720"/>
        </w:tabs>
        <w:ind w:start="720" w:hanging="720"/>
      </w:pPr>
      <w:rPr/>
    </w:lvl>
    <w:lvl w:ilvl="2">
      <w:start w:val="2"/>
      <w:isLgl/>
      <w:numFmt w:val="decimal"/>
      <w:lvlText w:val="%1.%2.%3"/>
      <w:lvlJc w:val="start"/>
      <w:pPr>
        <w:tabs>
          <w:tab w:val="num" w:pos="720"/>
        </w:tabs>
        <w:ind w:start="720" w:hanging="720"/>
      </w:pPr>
      <w:rPr/>
    </w:lvl>
    <w:lvl w:ilvl="3">
      <w:start w:val="2"/>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7">
    <w:lvl w:ilvl="0">
      <w:start w:val="5"/>
      <w:numFmt w:val="lowerLetter"/>
      <w:lvlText w:val="(%1)"/>
      <w:lvlJc w:val="start"/>
      <w:pPr>
        <w:tabs>
          <w:tab w:val="num" w:pos="1440"/>
        </w:tabs>
        <w:ind w:start="1440" w:hanging="720"/>
      </w:pPr>
      <w:rPr/>
    </w:lvl>
  </w:abstractNum>
  <w:abstractNum w:abstractNumId="8">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rFonts w:ascii="Times New Roman" w:hAnsi="Times New Roman" w:cs="Times New Roman"/>
      <w:b/>
    </w:rPr>
  </w:style>
  <w:style w:type="paragraph" w:styleId="Heading3">
    <w:name w:val="heading 3"/>
    <w:basedOn w:val="Normal"/>
    <w:next w:val="Normal"/>
    <w:qFormat/>
    <w:pPr>
      <w:keepNext w:val="tru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start="0" w:end="0"/>
      <w:jc w:val="center"/>
      <w:outlineLvl w:val="2"/>
    </w:pPr>
    <w:rPr>
      <w:rFonts w:ascii="Times New Roman" w:hAnsi="Times New Roman" w:cs="Times New Roman"/>
      <w:sz w:val="26"/>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b/>
      <w:i w:val="false"/>
    </w:rPr>
  </w:style>
  <w:style w:type="character" w:styleId="WW8Num29z0">
    <w:name w:val="WW8Num29z0"/>
    <w:qFormat/>
    <w:rPr/>
  </w:style>
  <w:style w:type="character" w:styleId="WW8Num31z0">
    <w:name w:val="WW8Num31z0"/>
    <w:qFormat/>
    <w:rPr>
      <w:b/>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8z0">
    <w:name w:val="WW8Num38z0"/>
    <w:qFormat/>
    <w:rPr/>
  </w:style>
  <w:style w:type="character" w:styleId="WW8Num39z0">
    <w:name w:val="WW8Num39z0"/>
    <w:qFormat/>
    <w:rPr/>
  </w:style>
  <w:style w:type="character" w:styleId="WW8Num42z0">
    <w:name w:val="WW8Num42z0"/>
    <w:qFormat/>
    <w:rPr/>
  </w:style>
  <w:style w:type="character" w:styleId="WW8Num52z0">
    <w:name w:val="WW8Num52z0"/>
    <w:qFormat/>
    <w:rPr/>
  </w:style>
  <w:style w:type="character" w:styleId="WW8Num53z0">
    <w:name w:val="WW8Num53z0"/>
    <w:qFormat/>
    <w:rPr/>
  </w:style>
  <w:style w:type="character" w:styleId="WW8Num56z0">
    <w:name w:val="WW8Num56z0"/>
    <w:qFormat/>
    <w:rPr/>
  </w:style>
  <w:style w:type="character" w:styleId="WW8Num57z0">
    <w:name w:val="WW8Num57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8z0">
    <w:name w:val="WW8Num68z0"/>
    <w:qFormat/>
    <w:rPr>
      <w:b w:val="false"/>
      <w:i w:val="false"/>
    </w:rPr>
  </w:style>
  <w:style w:type="character" w:styleId="WW8Num69z0">
    <w:name w:val="WW8Num69z0"/>
    <w:qFormat/>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6z0">
    <w:name w:val="WW8Num76z0"/>
    <w:qFormat/>
    <w:rPr/>
  </w:style>
  <w:style w:type="character" w:styleId="WW8Num77z0">
    <w:name w:val="WW8Num77z0"/>
    <w:qFormat/>
    <w:rPr/>
  </w:style>
  <w:style w:type="character" w:styleId="WW8Num79z0">
    <w:name w:val="WW8Num79z0"/>
    <w:qFormat/>
    <w:rPr>
      <w:b/>
      <w:i w:val="false"/>
    </w:rPr>
  </w:style>
  <w:style w:type="character" w:styleId="WW8Num80z0">
    <w:name w:val="WW8Num80z0"/>
    <w:qFormat/>
    <w:rPr/>
  </w:style>
  <w:style w:type="character" w:styleId="WW8Num81z0">
    <w:name w:val="WW8Num81z0"/>
    <w:qFormat/>
    <w:rPr/>
  </w:style>
  <w:style w:type="character" w:styleId="WW8Num83z0">
    <w:name w:val="WW8Num83z0"/>
    <w:qFormat/>
    <w:rPr>
      <w:b/>
      <w:i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b/>
      <w:i w:val="false"/>
    </w:rPr>
  </w:style>
  <w:style w:type="character" w:styleId="WW8Num91z0">
    <w:name w:val="WW8Num91z0"/>
    <w:qFormat/>
    <w:rPr/>
  </w:style>
  <w:style w:type="character" w:styleId="WW8Num93z0">
    <w:name w:val="WW8Num93z0"/>
    <w:qFormat/>
    <w:rPr>
      <w:b w:val="false"/>
    </w:rPr>
  </w:style>
  <w:style w:type="character" w:styleId="WW8Num94z0">
    <w:name w:val="WW8Num94z0"/>
    <w:qFormat/>
    <w:rPr/>
  </w:style>
  <w:style w:type="character" w:styleId="WW8Num95z0">
    <w:name w:val="WW8Num95z0"/>
    <w:qFormat/>
    <w:rPr/>
  </w:style>
  <w:style w:type="character" w:styleId="WW8Num98z0">
    <w:name w:val="WW8Num98z0"/>
    <w:qFormat/>
    <w:rPr>
      <w:rFonts w:ascii="Symbol" w:hAnsi="Symbol" w:cs="Symbol"/>
    </w:rPr>
  </w:style>
  <w:style w:type="character" w:styleId="WW8Num99z0">
    <w:name w:val="WW8Num99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b/>
      <w:i w:val="false"/>
    </w:rPr>
  </w:style>
  <w:style w:type="character" w:styleId="WW8Num107z0">
    <w:name w:val="WW8Num107z0"/>
    <w:qFormat/>
    <w:rPr/>
  </w:style>
  <w:style w:type="character" w:styleId="WW8Num108z0">
    <w:name w:val="WW8Num108z0"/>
    <w:qFormat/>
    <w:rPr/>
  </w:style>
  <w:style w:type="character" w:styleId="WW8Num109z0">
    <w:name w:val="WW8Num109z0"/>
    <w:qFormat/>
    <w:rPr>
      <w:b/>
      <w:i w:val="false"/>
    </w:rPr>
  </w:style>
  <w:style w:type="character" w:styleId="WW8Num110z0">
    <w:name w:val="WW8Num110z0"/>
    <w:qFormat/>
    <w:rPr/>
  </w:style>
  <w:style w:type="character" w:styleId="WW8Num111z0">
    <w:name w:val="WW8Num111z0"/>
    <w:qFormat/>
    <w:rPr>
      <w:rFonts w:ascii="Symbol" w:hAnsi="Symbol" w:cs="Symbol"/>
    </w:rPr>
  </w:style>
  <w:style w:type="character" w:styleId="WW8Num112z0">
    <w:name w:val="WW8Num112z0"/>
    <w:qFormat/>
    <w:rPr>
      <w:b/>
      <w:i w:val="false"/>
    </w:rPr>
  </w:style>
  <w:style w:type="character" w:styleId="WW8Num113z0">
    <w:name w:val="WW8Num113z0"/>
    <w:qFormat/>
    <w:rPr/>
  </w:style>
  <w:style w:type="character" w:styleId="WW8Num117z0">
    <w:name w:val="WW8Num117z0"/>
    <w:qFormat/>
    <w:rPr/>
  </w:style>
  <w:style w:type="character" w:styleId="WW8Num118z0">
    <w:name w:val="WW8Num118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7z0">
    <w:name w:val="WW8Num127z0"/>
    <w:qFormat/>
    <w:rPr/>
  </w:style>
  <w:style w:type="character" w:styleId="WW8Num130z0">
    <w:name w:val="WW8Num130z0"/>
    <w:qFormat/>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6z0">
    <w:name w:val="WW8Num136z0"/>
    <w:qFormat/>
    <w:rPr/>
  </w:style>
  <w:style w:type="character" w:styleId="WW8Num141z0">
    <w:name w:val="WW8Num141z0"/>
    <w:qFormat/>
    <w:rPr/>
  </w:style>
  <w:style w:type="character" w:styleId="WW8Num142z0">
    <w:name w:val="WW8Num142z0"/>
    <w:qFormat/>
    <w:rPr>
      <w:b/>
      <w:i w:val="false"/>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6z0">
    <w:name w:val="WW8Num146z0"/>
    <w:qFormat/>
    <w:rPr>
      <w:b/>
      <w:i w:val="false"/>
    </w:rPr>
  </w:style>
  <w:style w:type="character" w:styleId="WW8Num147z0">
    <w:name w:val="WW8Num147z0"/>
    <w:qFormat/>
    <w:rPr/>
  </w:style>
  <w:style w:type="character" w:styleId="WW8Num148z0">
    <w:name w:val="WW8Num148z0"/>
    <w:qFormat/>
    <w:rPr>
      <w:b/>
      <w:i w:val="false"/>
    </w:rPr>
  </w:style>
  <w:style w:type="character" w:styleId="WW8Num151z0">
    <w:name w:val="WW8Num151z0"/>
    <w:qFormat/>
    <w:rPr/>
  </w:style>
  <w:style w:type="character" w:styleId="WW8Num152z0">
    <w:name w:val="WW8Num152z0"/>
    <w:qFormat/>
    <w:rPr/>
  </w:style>
  <w:style w:type="character" w:styleId="WW8Num157z0">
    <w:name w:val="WW8Num157z0"/>
    <w:qFormat/>
    <w:rPr/>
  </w:style>
  <w:style w:type="character" w:styleId="WW8Num160z0">
    <w:name w:val="WW8Num160z0"/>
    <w:qFormat/>
    <w:rPr/>
  </w:style>
  <w:style w:type="character" w:styleId="WW8Num161z0">
    <w:name w:val="WW8Num161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70z0">
    <w:name w:val="WW8Num170z0"/>
    <w:qFormat/>
    <w:rPr/>
  </w:style>
  <w:style w:type="character" w:styleId="WW8Num171z0">
    <w:name w:val="WW8Num171z0"/>
    <w:qFormat/>
    <w:rPr/>
  </w:style>
  <w:style w:type="character" w:styleId="WW8Num173z0">
    <w:name w:val="WW8Num173z0"/>
    <w:qFormat/>
    <w:rPr>
      <w:rFonts w:ascii="Symbol" w:hAnsi="Symbol" w:cs="Symbol"/>
    </w:rPr>
  </w:style>
  <w:style w:type="character" w:styleId="WW8Num174z0">
    <w:name w:val="WW8Num174z0"/>
    <w:qFormat/>
    <w:rPr>
      <w:b/>
    </w:rPr>
  </w:style>
  <w:style w:type="character" w:styleId="WW8Num177z0">
    <w:name w:val="WW8Num177z0"/>
    <w:qFormat/>
    <w:rPr/>
  </w:style>
  <w:style w:type="character" w:styleId="WW8Num179z0">
    <w:name w:val="WW8Num179z0"/>
    <w:qFormat/>
    <w:rPr/>
  </w:style>
  <w:style w:type="character" w:styleId="WW8Num182z0">
    <w:name w:val="WW8Num182z0"/>
    <w:qFormat/>
    <w:rPr/>
  </w:style>
  <w:style w:type="character" w:styleId="WW8Num183z0">
    <w:name w:val="WW8Num183z0"/>
    <w:qFormat/>
    <w:rPr/>
  </w:style>
  <w:style w:type="character" w:styleId="WW8Num184z0">
    <w:name w:val="WW8Num184z0"/>
    <w:qFormat/>
    <w:rPr/>
  </w:style>
  <w:style w:type="character" w:styleId="WW8Num186z0">
    <w:name w:val="WW8Num186z0"/>
    <w:qFormat/>
    <w:rPr>
      <w:b w:val="false"/>
    </w:rPr>
  </w:style>
  <w:style w:type="character" w:styleId="WW8Num187z0">
    <w:name w:val="WW8Num187z0"/>
    <w:qFormat/>
    <w:rPr/>
  </w:style>
  <w:style w:type="character" w:styleId="WW8Num188z0">
    <w:name w:val="WW8Num188z0"/>
    <w:qFormat/>
    <w:rPr/>
  </w:style>
  <w:style w:type="character" w:styleId="WW8Num193z0">
    <w:name w:val="WW8Num193z0"/>
    <w:qFormat/>
    <w:rPr/>
  </w:style>
  <w:style w:type="character" w:styleId="WW8Num195z0">
    <w:name w:val="WW8Num195z0"/>
    <w:qFormat/>
    <w:rPr/>
  </w:style>
  <w:style w:type="character" w:styleId="WW8Num196z0">
    <w:name w:val="WW8Num196z0"/>
    <w:qFormat/>
    <w:rPr/>
  </w:style>
  <w:style w:type="character" w:styleId="WW8Num201z0">
    <w:name w:val="WW8Num201z0"/>
    <w:qFormat/>
    <w:rPr>
      <w:rFonts w:ascii="Symbol" w:hAnsi="Symbol" w:cs="Symbol"/>
    </w:rPr>
  </w:style>
  <w:style w:type="character" w:styleId="WW8Num204z0">
    <w:name w:val="WW8Num204z0"/>
    <w:qFormat/>
    <w:rPr/>
  </w:style>
  <w:style w:type="character" w:styleId="WW8Num204z1">
    <w:name w:val="WW8Num204z1"/>
    <w:qFormat/>
    <w:rPr>
      <w:b/>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9z0">
    <w:name w:val="WW8Num209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20z0">
    <w:name w:val="WW8Num220z0"/>
    <w:qFormat/>
    <w:rPr/>
  </w:style>
  <w:style w:type="character" w:styleId="WW8Num221z0">
    <w:name w:val="WW8Num221z0"/>
    <w:qFormat/>
    <w:rPr/>
  </w:style>
  <w:style w:type="character" w:styleId="WW8Num223z0">
    <w:name w:val="WW8Num223z0"/>
    <w:qFormat/>
    <w:rPr/>
  </w:style>
  <w:style w:type="character" w:styleId="WW8Num225z0">
    <w:name w:val="WW8Num225z0"/>
    <w:qFormat/>
    <w:rPr/>
  </w:style>
  <w:style w:type="character" w:styleId="WW8Num227z0">
    <w:name w:val="WW8Num227z0"/>
    <w:qFormat/>
    <w:rPr>
      <w:b/>
      <w:i w:val="false"/>
    </w:rPr>
  </w:style>
  <w:style w:type="character" w:styleId="WW8Num231z0">
    <w:name w:val="WW8Num231z0"/>
    <w:qFormat/>
    <w:rPr>
      <w:b/>
      <w:i w:val="false"/>
    </w:rPr>
  </w:style>
  <w:style w:type="character" w:styleId="WW8Num232z0">
    <w:name w:val="WW8Num232z0"/>
    <w:qFormat/>
    <w:rPr>
      <w:rFonts w:ascii="Symbol" w:hAnsi="Symbol" w:cs="Symbol"/>
    </w:rPr>
  </w:style>
  <w:style w:type="character" w:styleId="WW8Num233z0">
    <w:name w:val="WW8Num233z0"/>
    <w:qFormat/>
    <w:rPr/>
  </w:style>
  <w:style w:type="character" w:styleId="WW8Num235z0">
    <w:name w:val="WW8Num235z0"/>
    <w:qFormat/>
    <w:rPr>
      <w:rFonts w:ascii="Symbol" w:hAnsi="Symbol" w:cs="Symbol"/>
    </w:rPr>
  </w:style>
  <w:style w:type="character" w:styleId="WW8Num236z0">
    <w:name w:val="WW8Num236z0"/>
    <w:qFormat/>
    <w:rPr/>
  </w:style>
  <w:style w:type="character" w:styleId="WW8Num237z0">
    <w:name w:val="WW8Num237z0"/>
    <w:qFormat/>
    <w:rPr>
      <w:b/>
      <w:i w:val="false"/>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4z0">
    <w:name w:val="WW8Num244z0"/>
    <w:qFormat/>
    <w:rPr>
      <w:rFonts w:ascii="Symbol" w:hAnsi="Symbol" w:cs="Symbol"/>
    </w:rPr>
  </w:style>
  <w:style w:type="character" w:styleId="WW8Num246z0">
    <w:name w:val="WW8Num246z0"/>
    <w:qFormat/>
    <w:rPr/>
  </w:style>
  <w:style w:type="character" w:styleId="WW8Num249z0">
    <w:name w:val="WW8Num249z0"/>
    <w:qFormat/>
    <w:rPr>
      <w:b/>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6z0">
    <w:name w:val="WW8Num256z0"/>
    <w:qFormat/>
    <w:rPr>
      <w:rFonts w:ascii="Symbol" w:hAnsi="Symbol" w:cs="Symbol"/>
    </w:rPr>
  </w:style>
  <w:style w:type="character" w:styleId="WW8Num257z0">
    <w:name w:val="WW8Num257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0"/>
    </w:rPr>
  </w:style>
  <w:style w:type="paragraph" w:styleId="BodyTextIndent">
    <w:name w:val="Body Text Indent"/>
    <w:basedOn w:val="Normal"/>
    <w:pPr>
      <w:ind w:hanging="0" w:start="360" w:end="0"/>
    </w:pPr>
    <w:rPr>
      <w:rFonts w:ascii="Times New Roman" w:hAnsi="Times New Roman" w:cs="Times New Roman"/>
      <w:sz w:val="20"/>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mcneilkeister@bpa.gov"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2001-02-12T19:57:00Z</dcterms:created>
  <dc:creator>MAD0099</dc:creator>
  <dc:description/>
  <dc:language>en-CA</dc:language>
  <cp:lastModifiedBy>Fran Gebhardt</cp:lastModifiedBy>
  <cp:lastPrinted>2001-02-12T14:27:00Z</cp:lastPrinted>
  <dcterms:modified xsi:type="dcterms:W3CDTF">2001-02-21T14:14:00Z</dcterms:modified>
  <cp:revision>5</cp:revision>
  <dc:subject/>
  <dc:title>Bonneville Power Administration </dc:title>
</cp:coreProperties>
</file>