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t>June 12, 2001</w:t>
      </w:r>
    </w:p>
    <w:p>
      <w:pPr>
        <w:pStyle w:val="Normal"/>
        <w:rPr>
          <w:sz w:val="28"/>
        </w:rPr>
      </w:pPr>
      <w:r>
        <w:rPr>
          <w:sz w:val="28"/>
        </w:rPr>
      </w:r>
    </w:p>
    <w:p>
      <w:pPr>
        <w:pStyle w:val="Normal"/>
        <w:rPr>
          <w:sz w:val="28"/>
        </w:rPr>
      </w:pPr>
      <w:r>
        <w:rPr>
          <w:sz w:val="28"/>
        </w:rPr>
      </w:r>
    </w:p>
    <w:p>
      <w:pPr>
        <w:pStyle w:val="Normal"/>
        <w:rPr>
          <w:sz w:val="28"/>
        </w:rPr>
      </w:pPr>
      <w:r>
        <w:rPr>
          <w:sz w:val="28"/>
        </w:rPr>
        <w:t>The Honorable Robert M. Hertzberg</w:t>
      </w:r>
    </w:p>
    <w:p>
      <w:pPr>
        <w:pStyle w:val="Normal"/>
        <w:rPr>
          <w:sz w:val="28"/>
        </w:rPr>
      </w:pPr>
      <w:r>
        <w:rPr>
          <w:sz w:val="28"/>
        </w:rPr>
        <w:t>Speaker, California State Assembly</w:t>
      </w:r>
    </w:p>
    <w:p>
      <w:pPr>
        <w:pStyle w:val="Normal"/>
        <w:rPr>
          <w:sz w:val="28"/>
        </w:rPr>
      </w:pPr>
      <w:r>
        <w:rPr>
          <w:sz w:val="28"/>
        </w:rPr>
        <w:t>State Capitol, Room 219</w:t>
      </w:r>
    </w:p>
    <w:p>
      <w:pPr>
        <w:pStyle w:val="Normal"/>
        <w:rPr>
          <w:sz w:val="28"/>
        </w:rPr>
      </w:pPr>
      <w:r>
        <w:rPr>
          <w:sz w:val="28"/>
        </w:rPr>
        <w:t>Sacramento, California 95814</w:t>
      </w:r>
    </w:p>
    <w:p>
      <w:pPr>
        <w:pStyle w:val="Normal"/>
        <w:rPr>
          <w:sz w:val="28"/>
        </w:rPr>
      </w:pPr>
      <w:r>
        <w:rPr>
          <w:sz w:val="28"/>
        </w:rPr>
      </w:r>
    </w:p>
    <w:p>
      <w:pPr>
        <w:pStyle w:val="Normal"/>
        <w:rPr>
          <w:sz w:val="28"/>
        </w:rPr>
      </w:pPr>
      <w:r>
        <w:rPr>
          <w:sz w:val="28"/>
        </w:rPr>
        <w:t>Dear Speaker Hertzberg,</w:t>
      </w:r>
    </w:p>
    <w:p>
      <w:pPr>
        <w:pStyle w:val="Normal"/>
        <w:rPr>
          <w:sz w:val="28"/>
        </w:rPr>
      </w:pPr>
      <w:r>
        <w:rPr>
          <w:sz w:val="28"/>
        </w:rPr>
      </w:r>
    </w:p>
    <w:p>
      <w:pPr>
        <w:pStyle w:val="BodyText2"/>
        <w:rPr/>
      </w:pPr>
      <w:r>
        <w:rPr>
          <w:color w:val="000000"/>
        </w:rPr>
        <w:t>Ten days ago</w:t>
      </w:r>
      <w:r>
        <w:rPr>
          <w:color w:val="00FF00"/>
        </w:rPr>
        <w:t xml:space="preserve"> </w:t>
      </w:r>
      <w:r>
        <w:rPr/>
        <w:t>you asked a group of consumers, business and industrial representatives, environmentalists, labor and Southern California Edison (SCE) to meet in an effort to break the current impasse over the financial troubles of SCE. You asked us to develop alternative proposals that might successfully pass the Legislature and be approved by the Governor by urgency statute.</w:t>
      </w:r>
    </w:p>
    <w:p>
      <w:pPr>
        <w:pStyle w:val="Normal"/>
        <w:rPr>
          <w:sz w:val="28"/>
        </w:rPr>
      </w:pPr>
      <w:r>
        <w:rPr>
          <w:sz w:val="28"/>
        </w:rPr>
      </w:r>
    </w:p>
    <w:p>
      <w:pPr>
        <w:pStyle w:val="Normal"/>
        <w:rPr>
          <w:sz w:val="28"/>
        </w:rPr>
      </w:pPr>
      <w:r>
        <w:rPr>
          <w:sz w:val="28"/>
        </w:rPr>
        <w:t xml:space="preserve">We have been working diligently to see if we could find common recommendations for your consideration.  Although progress has been made it is clear that additional time would be needed to develop a full proposal for your review.  In addition, there are substantial disagreements over some major points.  This fact, of course, comes as no surprise to you since you have been grappling with these issues for many months.   </w:t>
      </w:r>
    </w:p>
    <w:p>
      <w:pPr>
        <w:pStyle w:val="Normal"/>
        <w:rPr>
          <w:sz w:val="28"/>
        </w:rPr>
      </w:pPr>
      <w:r>
        <w:rPr>
          <w:sz w:val="28"/>
        </w:rPr>
      </w:r>
    </w:p>
    <w:p>
      <w:pPr>
        <w:pStyle w:val="Normal"/>
        <w:rPr>
          <w:sz w:val="28"/>
        </w:rPr>
      </w:pPr>
      <w:r>
        <w:rPr>
          <w:sz w:val="28"/>
        </w:rPr>
        <w:t>This letter is a brief status report on our efforts and identifies some of the basic issues that must, we believe, be addressed in any settlement.   Rather than discuss in detail the approaches we have been considering, this letter is a more general summary.</w:t>
      </w:r>
    </w:p>
    <w:p>
      <w:pPr>
        <w:pStyle w:val="Normal"/>
        <w:rPr>
          <w:sz w:val="28"/>
        </w:rPr>
      </w:pPr>
      <w:r>
        <w:rPr>
          <w:sz w:val="28"/>
        </w:rPr>
      </w:r>
    </w:p>
    <w:p>
      <w:pPr>
        <w:pStyle w:val="Normal"/>
        <w:rPr>
          <w:sz w:val="28"/>
        </w:rPr>
      </w:pPr>
      <w:r>
        <w:rPr>
          <w:sz w:val="28"/>
        </w:rPr>
        <w:t xml:space="preserve">We all know that California’s energy crisis is complex and difficult to resolve.  Any successful resolution must involve financially solvent utilities, as well as a host of other actions that ensure:  </w:t>
      </w:r>
    </w:p>
    <w:p>
      <w:pPr>
        <w:pStyle w:val="Normal"/>
        <w:rPr>
          <w:sz w:val="28"/>
        </w:rPr>
      </w:pPr>
      <w:r>
        <w:rPr>
          <w:sz w:val="28"/>
        </w:rPr>
      </w:r>
    </w:p>
    <w:p>
      <w:pPr>
        <w:pStyle w:val="Normal"/>
        <w:ind w:start="360" w:end="0"/>
        <w:rPr>
          <w:sz w:val="28"/>
        </w:rPr>
      </w:pPr>
      <w:r>
        <w:rPr>
          <w:sz w:val="28"/>
        </w:rPr>
      </w:r>
    </w:p>
    <w:p>
      <w:pPr>
        <w:pStyle w:val="Normal"/>
        <w:numPr>
          <w:ilvl w:val="0"/>
          <w:numId w:val="2"/>
        </w:numPr>
        <w:rPr/>
      </w:pPr>
      <w:r>
        <w:rPr>
          <w:sz w:val="28"/>
        </w:rPr>
        <w:t>More electrical generation capacity.</w:t>
      </w:r>
    </w:p>
    <w:p>
      <w:pPr>
        <w:pStyle w:val="Normal"/>
        <w:numPr>
          <w:ilvl w:val="0"/>
          <w:numId w:val="2"/>
        </w:numPr>
        <w:rPr/>
      </w:pPr>
      <w:r>
        <w:rPr>
          <w:sz w:val="28"/>
        </w:rPr>
        <w:t>Support and assistance for permanent conservation and energy efficiency programs.</w:t>
      </w:r>
    </w:p>
    <w:p>
      <w:pPr>
        <w:pStyle w:val="Normal"/>
        <w:numPr>
          <w:ilvl w:val="0"/>
          <w:numId w:val="2"/>
        </w:numPr>
        <w:rPr/>
      </w:pPr>
      <w:r>
        <w:rPr>
          <w:sz w:val="28"/>
        </w:rPr>
        <w:t>Stabilization of energy prices for residential and business consumers.</w:t>
      </w:r>
    </w:p>
    <w:p>
      <w:pPr>
        <w:pStyle w:val="Normal"/>
        <w:numPr>
          <w:ilvl w:val="0"/>
          <w:numId w:val="2"/>
        </w:numPr>
        <w:rPr/>
      </w:pPr>
      <w:r>
        <w:rPr>
          <w:sz w:val="28"/>
        </w:rPr>
        <w:t>Assurance that the quality of our environment is protected while we pursue our energy goals.</w:t>
      </w:r>
    </w:p>
    <w:p>
      <w:pPr>
        <w:pStyle w:val="Normal"/>
        <w:numPr>
          <w:ilvl w:val="0"/>
          <w:numId w:val="2"/>
        </w:numPr>
        <w:rPr/>
      </w:pPr>
      <w:r>
        <w:rPr>
          <w:sz w:val="28"/>
        </w:rPr>
        <w:t>A balanced mix of energy sources available to the people of California.</w:t>
      </w:r>
    </w:p>
    <w:p>
      <w:pPr>
        <w:pStyle w:val="Normal"/>
        <w:numPr>
          <w:ilvl w:val="0"/>
          <w:numId w:val="2"/>
        </w:numPr>
        <w:rPr/>
      </w:pPr>
      <w:r>
        <w:rPr>
          <w:sz w:val="28"/>
        </w:rPr>
        <w:t>A reliable supply of energy for families, businesses and the California economy.</w:t>
      </w:r>
    </w:p>
    <w:p>
      <w:pPr>
        <w:pStyle w:val="Normal"/>
        <w:numPr>
          <w:ilvl w:val="0"/>
          <w:numId w:val="2"/>
        </w:numPr>
        <w:rPr/>
      </w:pPr>
      <w:r>
        <w:rPr>
          <w:sz w:val="28"/>
        </w:rPr>
        <w:t>A mix of healthy and functioning public and private energy generators and suppliers should provide energy.</w:t>
      </w:r>
    </w:p>
    <w:p>
      <w:pPr>
        <w:pStyle w:val="Normal"/>
        <w:numPr>
          <w:ilvl w:val="0"/>
          <w:numId w:val="2"/>
        </w:numPr>
        <w:rPr/>
      </w:pPr>
      <w:r>
        <w:rPr>
          <w:sz w:val="28"/>
        </w:rPr>
        <w:t>The rapid replacement or retrofitting of older power plants with newer, environmentally cleaner generators is essential.</w:t>
      </w:r>
    </w:p>
    <w:p>
      <w:pPr>
        <w:pStyle w:val="Normal"/>
        <w:numPr>
          <w:ilvl w:val="0"/>
          <w:numId w:val="2"/>
        </w:numPr>
        <w:rPr/>
      </w:pPr>
      <w:r>
        <w:rPr>
          <w:sz w:val="28"/>
        </w:rPr>
        <w:t>Reform of our current energy regulatory system, which has become both complex and cumbersome.</w:t>
      </w:r>
    </w:p>
    <w:p>
      <w:pPr>
        <w:pStyle w:val="Normal"/>
        <w:numPr>
          <w:ilvl w:val="0"/>
          <w:numId w:val="2"/>
        </w:numPr>
        <w:rPr/>
      </w:pPr>
      <w:r>
        <w:rPr>
          <w:sz w:val="28"/>
        </w:rPr>
        <w:t>The continuing financial stability of the utilities.</w:t>
      </w:r>
    </w:p>
    <w:p>
      <w:pPr>
        <w:pStyle w:val="Normal"/>
        <w:rPr>
          <w:sz w:val="28"/>
        </w:rPr>
      </w:pPr>
      <w:r>
        <w:rPr>
          <w:sz w:val="28"/>
        </w:rPr>
      </w:r>
    </w:p>
    <w:p>
      <w:pPr>
        <w:pStyle w:val="Normal"/>
        <w:rPr>
          <w:sz w:val="28"/>
        </w:rPr>
      </w:pPr>
      <w:r>
        <w:rPr>
          <w:sz w:val="28"/>
        </w:rPr>
        <w:t xml:space="preserve">It is important to note that the Legislature and Governor have taken important steps to address many of these issues. We are mindful of the dogged efforts you and others have made in recent months.  We also note the remarkable effort made by many families, businesses and institutions to conserve energy.  Because the energy situation is complex and the solutions are directed at multiple problems it is important to recognize that it will take time and continued effort for California to work its way out of this situation.  </w:t>
      </w:r>
    </w:p>
    <w:p>
      <w:pPr>
        <w:pStyle w:val="Normal"/>
        <w:rPr>
          <w:sz w:val="28"/>
        </w:rPr>
      </w:pPr>
      <w:r>
        <w:rPr>
          <w:sz w:val="28"/>
        </w:rPr>
      </w:r>
    </w:p>
    <w:p>
      <w:pPr>
        <w:pStyle w:val="Normal"/>
        <w:rPr>
          <w:sz w:val="28"/>
        </w:rPr>
      </w:pPr>
      <w:r>
        <w:rPr>
          <w:sz w:val="28"/>
        </w:rPr>
        <w:t>Our discussion has focused on these issues:</w:t>
      </w:r>
    </w:p>
    <w:p>
      <w:pPr>
        <w:pStyle w:val="Normal"/>
        <w:rPr>
          <w:sz w:val="28"/>
        </w:rPr>
      </w:pPr>
      <w:r>
        <w:rPr>
          <w:sz w:val="28"/>
        </w:rPr>
      </w:r>
    </w:p>
    <w:p>
      <w:pPr>
        <w:pStyle w:val="Normal"/>
        <w:ind w:start="720" w:end="0"/>
        <w:rPr>
          <w:sz w:val="28"/>
        </w:rPr>
      </w:pPr>
      <w:r>
        <w:rPr>
          <w:sz w:val="28"/>
        </w:rPr>
        <w:t>First, the role of the State of California in purchasing energy.</w:t>
      </w:r>
    </w:p>
    <w:p>
      <w:pPr>
        <w:pStyle w:val="Normal"/>
        <w:ind w:firstLine="720" w:end="0"/>
        <w:rPr>
          <w:sz w:val="28"/>
        </w:rPr>
      </w:pPr>
      <w:r>
        <w:rPr>
          <w:sz w:val="28"/>
        </w:rPr>
      </w:r>
    </w:p>
    <w:p>
      <w:pPr>
        <w:pStyle w:val="Normal"/>
        <w:ind w:start="720" w:end="0"/>
        <w:rPr>
          <w:sz w:val="28"/>
        </w:rPr>
      </w:pPr>
      <w:r>
        <w:rPr>
          <w:sz w:val="28"/>
        </w:rPr>
        <w:t>Second, how to provide small customers with stable and regulated rates for the long-term.</w:t>
      </w:r>
    </w:p>
    <w:p>
      <w:pPr>
        <w:pStyle w:val="Normal"/>
        <w:ind w:firstLine="720" w:end="0"/>
        <w:rPr>
          <w:sz w:val="28"/>
        </w:rPr>
      </w:pPr>
      <w:r>
        <w:rPr>
          <w:sz w:val="28"/>
        </w:rPr>
      </w:r>
    </w:p>
    <w:p>
      <w:pPr>
        <w:pStyle w:val="Normal"/>
        <w:ind w:start="720" w:end="0"/>
        <w:rPr>
          <w:sz w:val="28"/>
        </w:rPr>
      </w:pPr>
      <w:r>
        <w:rPr>
          <w:sz w:val="28"/>
        </w:rPr>
        <w:t>Third, direct access to the market purchase of energy for medium and large business and industrial energy users and a potential phase in for medium commercial customers.</w:t>
      </w:r>
    </w:p>
    <w:p>
      <w:pPr>
        <w:pStyle w:val="Normal"/>
        <w:ind w:firstLine="720" w:end="0"/>
        <w:rPr>
          <w:sz w:val="28"/>
        </w:rPr>
      </w:pPr>
      <w:r>
        <w:rPr>
          <w:sz w:val="28"/>
        </w:rPr>
      </w:r>
    </w:p>
    <w:p>
      <w:pPr>
        <w:pStyle w:val="Normal"/>
        <w:ind w:start="720" w:end="0"/>
        <w:rPr>
          <w:sz w:val="28"/>
        </w:rPr>
      </w:pPr>
      <w:r>
        <w:rPr>
          <w:sz w:val="28"/>
        </w:rPr>
        <w:t xml:space="preserve">Fourth, increasing the use of renewable energy and retaining a green energy option for residential and small commercial customers.  </w:t>
      </w:r>
    </w:p>
    <w:p>
      <w:pPr>
        <w:pStyle w:val="Normal"/>
        <w:ind w:firstLine="720" w:end="0"/>
        <w:rPr>
          <w:sz w:val="28"/>
        </w:rPr>
      </w:pPr>
      <w:r>
        <w:rPr>
          <w:sz w:val="28"/>
        </w:rPr>
      </w:r>
    </w:p>
    <w:p>
      <w:pPr>
        <w:pStyle w:val="Normal"/>
        <w:ind w:start="720" w:end="0"/>
        <w:rPr>
          <w:sz w:val="28"/>
        </w:rPr>
      </w:pPr>
      <w:r>
        <w:rPr>
          <w:sz w:val="28"/>
        </w:rPr>
        <w:t>Fifth, impact of recent California Public Utilities Commission (CPUC) rate increases on businesses including the possibility of rate reductions.</w:t>
      </w:r>
    </w:p>
    <w:p>
      <w:pPr>
        <w:pStyle w:val="Normal"/>
        <w:rPr>
          <w:sz w:val="28"/>
        </w:rPr>
      </w:pPr>
      <w:r>
        <w:rPr>
          <w:sz w:val="28"/>
        </w:rPr>
      </w:r>
    </w:p>
    <w:p>
      <w:pPr>
        <w:pStyle w:val="Normal"/>
        <w:ind w:start="720" w:end="0"/>
        <w:rPr>
          <w:sz w:val="28"/>
        </w:rPr>
      </w:pPr>
      <w:r>
        <w:rPr>
          <w:sz w:val="28"/>
        </w:rPr>
        <w:t>Sixth, the potential sale of SCE transmission or other assets, and a dedicated rate component to finance some or all of SCE’s past debt, and the allocation of those costs to customer groups over the short and long term.</w:t>
      </w:r>
    </w:p>
    <w:p>
      <w:pPr>
        <w:pStyle w:val="Normal"/>
        <w:ind w:start="720" w:end="0"/>
        <w:rPr>
          <w:sz w:val="28"/>
        </w:rPr>
      </w:pPr>
      <w:r>
        <w:rPr>
          <w:sz w:val="28"/>
        </w:rPr>
      </w:r>
    </w:p>
    <w:p>
      <w:pPr>
        <w:pStyle w:val="Normal"/>
        <w:ind w:start="720" w:end="0"/>
        <w:rPr>
          <w:sz w:val="28"/>
        </w:rPr>
      </w:pPr>
      <w:r>
        <w:rPr>
          <w:sz w:val="28"/>
        </w:rPr>
      </w:r>
    </w:p>
    <w:p>
      <w:pPr>
        <w:pStyle w:val="Normal"/>
        <w:ind w:start="720" w:end="0"/>
        <w:rPr>
          <w:sz w:val="28"/>
        </w:rPr>
      </w:pPr>
      <w:r>
        <w:rPr>
          <w:sz w:val="28"/>
        </w:rPr>
        <w:t xml:space="preserve">Seventh, state policies encouraging the development of customer-specific generation. </w:t>
      </w:r>
    </w:p>
    <w:p>
      <w:pPr>
        <w:pStyle w:val="Normal"/>
        <w:ind w:start="720" w:end="0"/>
        <w:rPr>
          <w:sz w:val="28"/>
        </w:rPr>
      </w:pPr>
      <w:r>
        <w:rPr>
          <w:sz w:val="28"/>
        </w:rPr>
      </w:r>
    </w:p>
    <w:p>
      <w:pPr>
        <w:pStyle w:val="Normal"/>
        <w:ind w:start="720" w:end="0"/>
        <w:rPr>
          <w:sz w:val="28"/>
        </w:rPr>
      </w:pPr>
      <w:r>
        <w:rPr>
          <w:sz w:val="28"/>
        </w:rPr>
        <w:t xml:space="preserve">Eighth, protection of SCE employees. </w:t>
      </w:r>
    </w:p>
    <w:p>
      <w:pPr>
        <w:pStyle w:val="Normal"/>
        <w:ind w:start="720" w:end="0"/>
        <w:rPr>
          <w:sz w:val="28"/>
        </w:rPr>
      </w:pPr>
      <w:r>
        <w:rPr>
          <w:sz w:val="28"/>
        </w:rPr>
      </w:r>
    </w:p>
    <w:p>
      <w:pPr>
        <w:pStyle w:val="BodyText2"/>
        <w:spacing w:before="240" w:after="0"/>
        <w:rPr/>
      </w:pPr>
      <w:r>
        <w:rPr/>
        <w:t xml:space="preserve">Finally, we point out that some tangential matters must be resolved in order for any plan to work.  Specifically, we believe that the issue of the qualified facilities (QFs) payments must be resolved in short order, by agreement of the parties or by legislation.  </w:t>
      </w:r>
    </w:p>
    <w:p>
      <w:pPr>
        <w:pStyle w:val="Normal"/>
        <w:rPr>
          <w:sz w:val="28"/>
        </w:rPr>
      </w:pPr>
      <w:r>
        <w:rPr>
          <w:sz w:val="28"/>
        </w:rPr>
      </w:r>
    </w:p>
    <w:p>
      <w:pPr>
        <w:pStyle w:val="Normal"/>
        <w:rPr>
          <w:sz w:val="28"/>
        </w:rPr>
      </w:pPr>
      <w:r>
        <w:rPr>
          <w:sz w:val="28"/>
        </w:rPr>
        <w:t xml:space="preserve">Equally important, any premature regulatory action limiting direct access purchase of energy could create problems in developing a comprehensive solution. </w:t>
      </w:r>
    </w:p>
    <w:p>
      <w:pPr>
        <w:pStyle w:val="Normal"/>
        <w:rPr>
          <w:sz w:val="28"/>
        </w:rPr>
      </w:pPr>
      <w:r>
        <w:rPr>
          <w:sz w:val="28"/>
        </w:rPr>
      </w:r>
    </w:p>
    <w:p>
      <w:pPr>
        <w:pStyle w:val="Normal"/>
        <w:rPr>
          <w:sz w:val="28"/>
        </w:rPr>
      </w:pPr>
      <w:r>
        <w:rPr>
          <w:sz w:val="28"/>
        </w:rPr>
        <w:t xml:space="preserve">We are disturbed by the continuing lack of detailed information about the California Department of Water Resources (CDWR) energy contracts and agreements in principle.  It will be nearly impossible to reach an eventual resolution without such information being made available.  Although we do not know the precise terms of these contracts or agreements, it is possible that an ingredient of a resolution would include renegotiation and change of the terms of many, if not all, of these contracts and agreements in principle.  </w:t>
      </w:r>
    </w:p>
    <w:p>
      <w:pPr>
        <w:pStyle w:val="Normal"/>
        <w:rPr>
          <w:sz w:val="28"/>
        </w:rPr>
      </w:pPr>
      <w:r>
        <w:rPr>
          <w:sz w:val="28"/>
        </w:rPr>
      </w:r>
    </w:p>
    <w:p>
      <w:pPr>
        <w:pStyle w:val="Normal"/>
        <w:rPr>
          <w:sz w:val="28"/>
        </w:rPr>
      </w:pPr>
      <w:r>
        <w:rPr>
          <w:sz w:val="28"/>
        </w:rPr>
        <w:t xml:space="preserve">Finally, any agreement between the CPUC and CDWR, which is to have the effect of a financing order, must balance three factors: the burden on consumers, the needs of the utility to recover its costs, and the needs of the CDWR to recover reasonable costs necessary to ensure financing. </w:t>
      </w:r>
    </w:p>
    <w:p>
      <w:pPr>
        <w:pStyle w:val="Normal"/>
        <w:rPr>
          <w:sz w:val="28"/>
        </w:rPr>
      </w:pPr>
      <w:r>
        <w:rPr>
          <w:sz w:val="28"/>
        </w:rPr>
      </w:r>
    </w:p>
    <w:p>
      <w:pPr>
        <w:pStyle w:val="Normal"/>
        <w:rPr>
          <w:sz w:val="28"/>
        </w:rPr>
      </w:pPr>
      <w:r>
        <w:rPr>
          <w:sz w:val="28"/>
        </w:rPr>
        <w:t>Mr. Speaker, we hope that this general outline may be of some use to you.  We are prepared to continue our work and look forward to helping you and your colleagues resolve this important problem.</w:t>
      </w:r>
    </w:p>
    <w:p>
      <w:pPr>
        <w:pStyle w:val="Normal"/>
        <w:rPr>
          <w:sz w:val="28"/>
        </w:rPr>
      </w:pPr>
      <w:r>
        <w:rPr>
          <w:sz w:val="28"/>
        </w:rPr>
        <w:softHyphen/>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rPr>
          <w:sz w:val="28"/>
        </w:rPr>
      </w:pPr>
      <w:r>
        <w:rPr>
          <w:sz w:val="28"/>
        </w:rPr>
        <w:t>____________________________</w:t>
      </w:r>
    </w:p>
    <w:p>
      <w:pPr>
        <w:pStyle w:val="Normal"/>
        <w:rPr>
          <w:sz w:val="28"/>
        </w:rPr>
      </w:pPr>
      <w:r>
        <w:rPr>
          <w:sz w:val="28"/>
        </w:rPr>
        <w:t>California Chamber of Commerce</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______________________________</w:t>
      </w:r>
    </w:p>
    <w:p>
      <w:pPr>
        <w:pStyle w:val="Normal"/>
        <w:rPr>
          <w:sz w:val="28"/>
        </w:rPr>
      </w:pPr>
      <w:r>
        <w:rPr>
          <w:sz w:val="28"/>
        </w:rPr>
        <w:t>California Large Energy Consumers Association</w:t>
      </w:r>
    </w:p>
    <w:p>
      <w:pPr>
        <w:sectPr>
          <w:type w:val="continuous"/>
          <w:pgSz w:w="12240" w:h="15840"/>
          <w:pgMar w:left="1440" w:right="1440" w:gutter="0" w:header="0" w:top="1440" w:footer="720" w:bottom="1440"/>
          <w:cols w:num="2" w:space="720" w:equalWidth="true" w:sep="false"/>
          <w:formProt w:val="false"/>
          <w:titlePg/>
          <w:textDirection w:val="lrTb"/>
          <w:docGrid w:type="default" w:linePitch="360" w:charSpace="0"/>
        </w:sectPr>
      </w:pPr>
    </w:p>
    <w:p>
      <w:pPr>
        <w:pStyle w:val="Normal"/>
        <w:rPr>
          <w:sz w:val="28"/>
        </w:rPr>
      </w:pPr>
      <w:r>
        <w:rPr>
          <w:sz w:val="28"/>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rPr>
          <w:sz w:val="28"/>
        </w:rPr>
      </w:pPr>
      <w:r>
        <w:rPr>
          <w:sz w:val="28"/>
        </w:rPr>
        <w:t>____________________________</w:t>
      </w:r>
    </w:p>
    <w:p>
      <w:pPr>
        <w:pStyle w:val="Normal"/>
        <w:rPr>
          <w:sz w:val="28"/>
        </w:rPr>
      </w:pPr>
      <w:r>
        <w:rPr>
          <w:sz w:val="28"/>
        </w:rPr>
        <w:t>California Manufacturers and Technology Association</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w:t>
      </w:r>
    </w:p>
    <w:p>
      <w:pPr>
        <w:pStyle w:val="Normal"/>
        <w:rPr>
          <w:sz w:val="28"/>
        </w:rPr>
      </w:pPr>
      <w:r>
        <w:rPr>
          <w:sz w:val="28"/>
        </w:rPr>
        <w:t>California Retailers Association</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______________________________</w:t>
      </w:r>
    </w:p>
    <w:p>
      <w:pPr>
        <w:pStyle w:val="Normal"/>
        <w:rPr>
          <w:sz w:val="28"/>
        </w:rPr>
      </w:pPr>
      <w:r>
        <w:rPr>
          <w:sz w:val="28"/>
        </w:rPr>
        <w:t>Center for Energy Efficiency and Renewable Technologies</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______________________________</w:t>
      </w:r>
    </w:p>
    <w:p>
      <w:pPr>
        <w:pStyle w:val="Normal"/>
        <w:rPr>
          <w:sz w:val="28"/>
        </w:rPr>
      </w:pPr>
      <w:r>
        <w:rPr>
          <w:sz w:val="28"/>
        </w:rPr>
        <w:t>Coalition of California Utility Employees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______________________________</w:t>
      </w:r>
    </w:p>
    <w:p>
      <w:pPr>
        <w:pStyle w:val="Normal"/>
        <w:rPr>
          <w:sz w:val="28"/>
        </w:rPr>
      </w:pPr>
      <w:r>
        <w:rPr>
          <w:sz w:val="28"/>
        </w:rPr>
        <w:t>Independent Energy Producers Association</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w:t>
      </w:r>
    </w:p>
    <w:p>
      <w:pPr>
        <w:pStyle w:val="Normal"/>
        <w:rPr>
          <w:sz w:val="28"/>
        </w:rPr>
      </w:pPr>
      <w:r>
        <w:rPr>
          <w:sz w:val="28"/>
        </w:rPr>
        <w:t>Silicon Valley Manufacturing Group</w:t>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w:t>
      </w:r>
    </w:p>
    <w:p>
      <w:pPr>
        <w:pStyle w:val="Normal"/>
        <w:rPr>
          <w:sz w:val="28"/>
        </w:rPr>
      </w:pPr>
      <w:r>
        <w:rPr>
          <w:sz w:val="28"/>
        </w:rPr>
        <w:t>The Utility Reform Network</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______________________________</w:t>
      </w:r>
    </w:p>
    <w:p>
      <w:pPr>
        <w:pStyle w:val="Normal"/>
        <w:rPr>
          <w:sz w:val="28"/>
        </w:rPr>
      </w:pPr>
      <w:r>
        <w:rPr>
          <w:sz w:val="28"/>
        </w:rPr>
        <w:t>Western States Petroleum Association</w:t>
      </w:r>
    </w:p>
    <w:p>
      <w:pPr>
        <w:pStyle w:val="Normal"/>
        <w:rPr/>
      </w:pPr>
      <w:r>
        <w:rPr/>
      </w:r>
    </w:p>
    <w:sectPr>
      <w:type w:val="continuous"/>
      <w:pgSz w:w="12240" w:h="15840"/>
      <w:pgMar w:left="1440" w:right="1440" w:gutter="0" w:header="0" w:top="1440" w:footer="720" w:bottom="1440"/>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outlineLvl w:val="1"/>
    </w:pPr>
    <w:rPr>
      <w:b/>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2001-06-13T04:47:00Z</dcterms:created>
  <dc:creator>Rules</dc:creator>
  <dc:description/>
  <dc:language>en-CA</dc:language>
  <cp:lastModifiedBy>D.J. Smith</cp:lastModifiedBy>
  <dcterms:modified xsi:type="dcterms:W3CDTF">2001-06-13T15:02:00Z</dcterms:modified>
  <cp:revision>13</cp:revision>
  <dc:subject/>
  <dc:title>June 12, 2001</dc:title>
</cp:coreProperties>
</file>