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36"/>
          <w:u w:val="single"/>
        </w:rPr>
      </w:pPr>
      <w:r>
        <w:rPr>
          <w:rFonts w:cs="Times New Roman" w:ascii="Times New Roman" w:hAnsi="Times New Roman"/>
          <w:b/>
          <w:smallCaps/>
          <w:sz w:val="36"/>
          <w:u w:val="single"/>
        </w:rPr>
        <w:t xml:space="preserve">next steps toward improving </w:t>
      </w:r>
    </w:p>
    <w:p>
      <w:pPr>
        <w:pStyle w:val="BodyText"/>
        <w:jc w:val="center"/>
        <w:rPr>
          <w:rFonts w:ascii="Times New Roman" w:hAnsi="Times New Roman" w:cs="Times New Roman"/>
          <w:b/>
          <w:smallCaps/>
          <w:sz w:val="28"/>
        </w:rPr>
      </w:pPr>
      <w:r>
        <w:rPr>
          <w:rFonts w:cs="Times New Roman" w:ascii="Times New Roman" w:hAnsi="Times New Roman"/>
          <w:b/>
          <w:smallCaps/>
          <w:sz w:val="36"/>
          <w:u w:val="single"/>
        </w:rPr>
        <w:t>California’s Electricity Market</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rPr>
          <w:rFonts w:ascii="Times New Roman" w:hAnsi="Times New Roman" w:cs="Times New Roman"/>
          <w:b/>
          <w:sz w:val="28"/>
        </w:rPr>
      </w:pPr>
      <w:r>
        <w:rPr>
          <w:rFonts w:cs="Times New Roman" w:ascii="Times New Roman" w:hAnsi="Times New Roman"/>
          <w:b/>
          <w:sz w:val="28"/>
        </w:rPr>
      </w:r>
    </w:p>
    <w:p>
      <w:pPr>
        <w:pStyle w:val="BodyText"/>
        <w:rPr>
          <w:rFonts w:ascii="Times New Roman" w:hAnsi="Times New Roman" w:cs="Times New Roman"/>
          <w:b/>
          <w:sz w:val="28"/>
          <w:u w:val="single"/>
        </w:rPr>
      </w:pPr>
      <w:r>
        <w:rPr>
          <w:rFonts w:cs="Times New Roman" w:ascii="Times New Roman" w:hAnsi="Times New Roman"/>
          <w:b/>
          <w:sz w:val="28"/>
          <w:u w:val="single"/>
        </w:rPr>
        <w:t>Preamble</w:t>
      </w:r>
    </w:p>
    <w:p>
      <w:pPr>
        <w:pStyle w:val="BodyText"/>
        <w:rPr>
          <w:rFonts w:ascii="Times New Roman" w:hAnsi="Times New Roman" w:cs="Times New Roman"/>
          <w:b/>
          <w:sz w:val="28"/>
          <w:u w:val="single"/>
        </w:rPr>
      </w:pPr>
      <w:r>
        <w:rPr>
          <w:rFonts w:cs="Times New Roman" w:ascii="Times New Roman" w:hAnsi="Times New Roman"/>
          <w:b/>
          <w:sz w:val="28"/>
          <w:u w:val="single"/>
        </w:rPr>
      </w:r>
    </w:p>
    <w:p>
      <w:pPr>
        <w:pStyle w:val="BodyText"/>
        <w:rPr>
          <w:rFonts w:ascii="Times New Roman" w:hAnsi="Times New Roman" w:cs="Times New Roman"/>
          <w:b/>
          <w:sz w:val="28"/>
        </w:rPr>
      </w:pPr>
      <w:r>
        <w:rPr>
          <w:rFonts w:cs="Times New Roman" w:ascii="Times New Roman" w:hAnsi="Times New Roman"/>
          <w:b/>
          <w:sz w:val="28"/>
        </w:rPr>
        <w:t>This road map covers many key elements of a framework for resolving California’s current electricity crisis.</w:t>
      </w:r>
    </w:p>
    <w:p>
      <w:pPr>
        <w:pStyle w:val="BodyText"/>
        <w:rPr>
          <w:rFonts w:ascii="Times New Roman" w:hAnsi="Times New Roman" w:cs="Times New Roman"/>
          <w:b/>
          <w:sz w:val="28"/>
        </w:rPr>
      </w:pPr>
      <w:r>
        <w:rPr>
          <w:rFonts w:cs="Times New Roman" w:ascii="Times New Roman" w:hAnsi="Times New Roman"/>
          <w:b/>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The “core/noncore” concept.</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Existing utility generation would be dedicated to “core” customers, automatically including residential and small business customers, to assure a stable energy and long-term rate stability.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Direct access to the market for large energy users.</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Large energy users would be permitted to purchase their energy directly from the market, subject to payment responsibility for obligations incurred by the state and the utility.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Environmental protection and emphasis on renewable energy and customer-specific generation.</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Establish program that will expand the diversity of the state’s generation resources through the development of renewable resources and customer-specific generation.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 xml:space="preserve">Potential state purchase of SCE transmission assets. </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The roadmap includes options to leverage SCE’s transmission assets to bring utility financial stability.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Appropriate rate adjustments.</w:t>
      </w:r>
    </w:p>
    <w:p>
      <w:pPr>
        <w:pStyle w:val="BodyText"/>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Potential near-term rate adjustments to mitigate rate shock to California’s economy.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  The deadline to choose core election would be October 1, 2002, with the choice becoming effective on January 1, 2003.  A noncore customer electing core service after October 1, 2002 would be required to give 12 months’ advance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to choose from the utility default options specified in Section 2.  Customers would be required to provide 120 days’ notice of departure from core service and must make a final election not later than January 1, 2004 or default to core service for a fixed term.  </w:t>
      </w:r>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program 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p>
    <w:p>
      <w:pPr>
        <w:pStyle w:val="ListBullet2"/>
        <w:ind w:hanging="720" w:start="1440" w:end="0"/>
        <w:rPr>
          <w:sz w:val="28"/>
        </w:rPr>
      </w:pPr>
      <w:r>
        <w:rPr>
          <w:sz w:val="28"/>
        </w:rPr>
      </w:r>
    </w:p>
    <w:p>
      <w:pPr>
        <w:pStyle w:val="ListBullet2"/>
        <w:ind w:hanging="720" w:start="1440" w:end="0"/>
        <w:rPr>
          <w:sz w:val="28"/>
        </w:rPr>
      </w:pPr>
      <w:r>
        <w:rPr>
          <w:sz w:val="28"/>
        </w:rPr>
        <w:t>1.4</w:t>
        <w:tab/>
        <w:t>Prior to the transition date, users who consume more than 20kW may engage in direct access subject to payment of applicable nonbypassable charges.</w:t>
      </w:r>
    </w:p>
    <w:p>
      <w:pPr>
        <w:pStyle w:val="ListBullet2"/>
        <w:ind w:hanging="720" w:start="1440" w:end="0"/>
        <w:rPr>
          <w:sz w:val="28"/>
        </w:rPr>
      </w:pPr>
      <w:r>
        <w:rPr>
          <w:sz w:val="28"/>
        </w:rPr>
      </w:r>
    </w:p>
    <w:p>
      <w:pPr>
        <w:pStyle w:val="ListBullet2"/>
        <w:ind w:hanging="720" w:start="1440" w:end="0"/>
        <w:rPr>
          <w:sz w:val="28"/>
        </w:rPr>
      </w:pPr>
      <w:r>
        <w:rPr>
          <w:sz w:val="28"/>
        </w:rPr>
        <w:t>1.5</w:t>
        <w:tab/>
        <w:t>The right to engage in direct access, as provided here, shall be established by law.</w:t>
      </w:r>
    </w:p>
    <w:p>
      <w:pPr>
        <w:pStyle w:val="ListBullet2"/>
        <w:ind w:hanging="720" w:start="1440" w:end="0"/>
        <w:rPr>
          <w:sz w:val="28"/>
        </w:rPr>
      </w:pPr>
      <w:r>
        <w:rPr>
          <w:sz w:val="28"/>
        </w:rPr>
      </w:r>
    </w:p>
    <w:p>
      <w:pPr>
        <w:pStyle w:val="ListBullet2"/>
        <w:ind w:hanging="720" w:start="1440" w:end="0"/>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A customer could elect to be served by the utility’s core portfolio at the average portfolio price, subject to a 5-year service commitment.  Material disagreement remains regarding the length of the commitment.  The customer would be required to give 12 months irrevocable advance notice to return to core portfolio service from another service option.</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b/>
          <w:sz w:val="28"/>
        </w:rPr>
      </w:pPr>
      <w:r>
        <w:rPr>
          <w:b/>
          <w:sz w:val="28"/>
        </w:rPr>
        <w:t>Utility retained generation would be dedicated to residential and small commercial customers with loads less than 20 kW 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ind w:hanging="720" w:start="1440" w:end="0"/>
        <w:rPr>
          <w:sz w:val="28"/>
        </w:rPr>
      </w:pPr>
      <w:r>
        <w:rPr>
          <w:sz w:val="28"/>
        </w:rPr>
        <w:t>3.1</w:t>
        <w:tab/>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ind w:hanging="720" w:start="2160" w:end="0"/>
        <w:rPr>
          <w:sz w:val="28"/>
        </w:rPr>
      </w:pPr>
      <w:r>
        <w:rPr>
          <w:sz w:val="28"/>
        </w:rPr>
        <w:t>3.1.1</w:t>
        <w:tab/>
        <w:t xml:space="preserve">The core portfolio would continue to be regulated by the CPUC, and in a manner that ensures clear procurement guidelines established through a public process, 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ind w:hanging="720" w:start="2160" w:end="0"/>
        <w:rPr>
          <w:sz w:val="28"/>
        </w:rPr>
      </w:pPr>
      <w:r>
        <w:rPr>
          <w:sz w:val="28"/>
        </w:rPr>
        <w:t>3.1.2.</w:t>
        <w:tab/>
        <w:t>The core portfolio would include utility-owned generation, all power purchase agreements, including qualifying facility 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ind w:hanging="720" w:start="2160" w:end="0"/>
        <w:rPr>
          <w:sz w:val="28"/>
        </w:rPr>
      </w:pPr>
      <w:r>
        <w:rPr>
          <w:sz w:val="28"/>
        </w:rPr>
        <w:t>3.1.3</w:t>
        <w:tab/>
        <w:t xml:space="preserve">The cost of the core portfolio would be allocated among core and core-elect customer classes on an equal cents per kWh basis, taking into account time variation of costs.  Within customer classes, rates shall be designed in a manner to provide time-based price signals.  For the residential class, this would mean continuation of the existing or modified tiered rates.  </w:t>
      </w:r>
    </w:p>
    <w:p>
      <w:pPr>
        <w:pStyle w:val="Normal"/>
        <w:ind w:hanging="1440" w:start="2880" w:end="0"/>
        <w:rPr>
          <w:sz w:val="28"/>
        </w:rPr>
      </w:pPr>
      <w:r>
        <w:rPr>
          <w:sz w:val="28"/>
        </w:rPr>
      </w:r>
    </w:p>
    <w:p>
      <w:pPr>
        <w:pStyle w:val="Normal"/>
        <w:ind w:hanging="1440" w:start="2880" w:end="0"/>
        <w:rPr>
          <w:sz w:val="28"/>
        </w:rPr>
      </w:pPr>
      <w:r>
        <w:rPr>
          <w:sz w:val="28"/>
        </w:rPr>
      </w:r>
    </w:p>
    <w:p>
      <w:pPr>
        <w:pStyle w:val="Normal"/>
        <w:ind w:hanging="1440" w:start="2880" w:end="0"/>
        <w:rPr>
          <w:sz w:val="28"/>
        </w:rPr>
      </w:pPr>
      <w:r>
        <w:rPr>
          <w:sz w:val="28"/>
        </w:rPr>
      </w:r>
    </w:p>
    <w:p>
      <w:pPr>
        <w:pStyle w:val="Normal"/>
        <w:ind w:hanging="1440" w:start="2880" w:end="0"/>
        <w:rPr>
          <w:sz w:val="28"/>
        </w:rPr>
      </w:pPr>
      <w:r>
        <w:rPr>
          <w:sz w:val="28"/>
        </w:rPr>
      </w:r>
    </w:p>
    <w:p>
      <w:pPr>
        <w:pStyle w:val="ListBullet2"/>
        <w:ind w:hanging="840" w:start="2280" w:end="0"/>
        <w:rPr>
          <w:sz w:val="28"/>
        </w:rPr>
      </w:pPr>
      <w:r>
        <w:rPr>
          <w:sz w:val="28"/>
        </w:rPr>
        <w:t>3.1.4.  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ind w:hanging="720" w:start="1440" w:end="0"/>
        <w:rPr>
          <w:b/>
          <w:sz w:val="28"/>
        </w:rPr>
      </w:pPr>
      <w:r>
        <w:rPr>
          <w:sz w:val="28"/>
        </w:rPr>
        <w:t>3.2</w:t>
        <w:tab/>
        <w:t>A core customer taking direct access prior to the effective date of the proposal would be “grand fathered”, provided that the customer would bear the responsibility for applicable nonbypassable charges.</w:t>
      </w:r>
    </w:p>
    <w:p>
      <w:pPr>
        <w:pStyle w:val="ListBullet2"/>
        <w:ind w:hanging="0" w:start="0" w:end="0"/>
        <w:rPr>
          <w:b/>
          <w:sz w:val="28"/>
        </w:rPr>
      </w:pPr>
      <w:r>
        <w:rPr>
          <w:b/>
          <w:sz w:val="28"/>
        </w:rPr>
      </w:r>
    </w:p>
    <w:p>
      <w:pPr>
        <w:pStyle w:val="ListBullet2"/>
        <w:ind w:hanging="720" w:start="1440" w:end="0"/>
        <w:rPr>
          <w:sz w:val="28"/>
        </w:rPr>
      </w:pPr>
      <w:r>
        <w:rPr>
          <w:sz w:val="28"/>
        </w:rPr>
        <w:t>3.3</w:t>
        <w:tab/>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 consistent with applicable tariffs in place as of the effective date of this proposal.</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pPr>
      <w:r>
        <w:rPr>
          <w:b/>
          <w:sz w:val="28"/>
        </w:rPr>
        <w:t>4.</w:t>
        <w:tab/>
      </w:r>
      <w:r>
        <w:rPr>
          <w:b/>
          <w:smallCaps/>
          <w:sz w:val="28"/>
        </w:rPr>
        <w:t xml:space="preserve">Interim Rate Relief </w:t>
      </w:r>
    </w:p>
    <w:p>
      <w:pPr>
        <w:pStyle w:val="ListBullet2"/>
        <w:ind w:hanging="720" w:end="0"/>
        <w:rPr>
          <w:b/>
          <w:smallCaps/>
          <w:sz w:val="28"/>
        </w:rPr>
      </w:pPr>
      <w:r>
        <w:rPr>
          <w:b/>
          <w:smallCaps/>
          <w:sz w:val="28"/>
        </w:rPr>
      </w:r>
    </w:p>
    <w:p>
      <w:pPr>
        <w:pStyle w:val="BodyTextIndent2"/>
        <w:ind w:start="0" w:end="0"/>
        <w:rPr>
          <w:rFonts w:ascii="Times New Roman" w:hAnsi="Times New Roman" w:cs="Times New Roman"/>
          <w:b/>
          <w:sz w:val="28"/>
        </w:rPr>
      </w:pPr>
      <w:r>
        <w:rPr>
          <w:rFonts w:cs="Times New Roman" w:ascii="Times New Roman" w:hAnsi="Times New Roman"/>
          <w:b/>
          <w:sz w:val="28"/>
        </w:rPr>
        <w:tab/>
        <w:t xml:space="preserve">Recent rate increases implemented by the CPUC have resulted in severe </w:t>
        <w:tab/>
        <w:t xml:space="preserve">economic impacts on large customers.  Any solution should consider </w:t>
        <w:tab/>
        <w:t xml:space="preserve">granting rate relief to mitigate the disproportionate impact.  Material </w:t>
        <w:tab/>
        <w:t xml:space="preserve">disagreement remains regarding the ability and means of achieving </w:t>
        <w:tab/>
        <w:t>interim rate relief.  Two options are presented for consideration.</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pPr>
      <w:r>
        <w:rPr>
          <w:rFonts w:cs="Times New Roman" w:ascii="Times New Roman" w:hAnsi="Times New Roman"/>
          <w:b/>
          <w:sz w:val="28"/>
        </w:rPr>
        <w:tab/>
      </w:r>
      <w:r>
        <w:rPr>
          <w:rFonts w:cs="Times New Roman" w:ascii="Times New Roman" w:hAnsi="Times New Roman"/>
          <w:b/>
          <w:sz w:val="28"/>
          <w:u w:val="single"/>
        </w:rPr>
        <w:t xml:space="preserve">Option 1: </w:t>
      </w:r>
    </w:p>
    <w:p>
      <w:pPr>
        <w:pStyle w:val="BodyTextIndent2"/>
        <w:ind w:start="0" w:end="0"/>
        <w:rPr>
          <w:rFonts w:ascii="Times New Roman" w:hAnsi="Times New Roman" w:cs="Times New Roman"/>
          <w:b/>
          <w:sz w:val="28"/>
          <w:u w:val="single"/>
        </w:rPr>
      </w:pPr>
      <w:r>
        <w:rPr>
          <w:rFonts w:cs="Times New Roman" w:ascii="Times New Roman" w:hAnsi="Times New Roman"/>
          <w:b/>
          <w:sz w:val="28"/>
          <w:u w:val="single"/>
        </w:rPr>
      </w:r>
    </w:p>
    <w:p>
      <w:pPr>
        <w:pStyle w:val="BodyTextIndent2"/>
        <w:numPr>
          <w:ilvl w:val="2"/>
          <w:numId w:val="8"/>
        </w:numPr>
        <w:rPr>
          <w:rFonts w:ascii="Times New Roman" w:hAnsi="Times New Roman" w:cs="Times New Roman"/>
          <w:b/>
          <w:sz w:val="28"/>
        </w:rPr>
      </w:pPr>
      <w:r>
        <w:rPr>
          <w:rFonts w:cs="Times New Roman" w:ascii="Times New Roman" w:hAnsi="Times New Roman"/>
          <w:sz w:val="28"/>
        </w:rPr>
        <w:t xml:space="preserve">Upon passage of legislation, SCE would reduce rates to ensure that no Large Power rate schedule or tariff option incurs an average increase of more than 50% when compared with rates in effect for that schedule on January 4, 2001.  </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ListBullet3"/>
        <w:numPr>
          <w:ilvl w:val="2"/>
          <w:numId w:val="8"/>
        </w:numPr>
        <w:rPr>
          <w:sz w:val="28"/>
        </w:rPr>
      </w:pPr>
      <w:r>
        <w:rPr>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ListBullet3"/>
        <w:tabs>
          <w:tab w:val="clear" w:pos="720"/>
          <w:tab w:val="left" w:pos="1440" w:leader="none"/>
        </w:tabs>
        <w:ind w:hanging="0" w:start="0" w:end="0"/>
        <w:rPr>
          <w:b/>
          <w:smallCaps/>
          <w:sz w:val="28"/>
        </w:rPr>
      </w:pPr>
      <w:r>
        <w:rPr>
          <w:b/>
          <w:smallCaps/>
          <w:sz w:val="28"/>
        </w:rPr>
      </w:r>
    </w:p>
    <w:p>
      <w:pPr>
        <w:pStyle w:val="ListBullet2"/>
        <w:ind w:hanging="720" w:start="1440" w:end="0"/>
        <w:rPr>
          <w:b/>
          <w:sz w:val="28"/>
        </w:rPr>
      </w:pPr>
      <w:r>
        <w:rPr>
          <w:sz w:val="28"/>
        </w:rPr>
        <w:t xml:space="preserve">4.1.3 </w:t>
        <w:tab/>
        <w:t>Regardless of the option selected, any costs resulting from a modification of baseline levels remain within the residential customer class.</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rPr/>
      </w:pPr>
      <w:r>
        <w:rPr>
          <w:rFonts w:cs="Times New Roman" w:ascii="Times New Roman" w:hAnsi="Times New Roman"/>
          <w:b/>
          <w:sz w:val="28"/>
          <w:u w:val="single"/>
        </w:rPr>
        <w:t>Option 2:</w:t>
      </w:r>
      <w:r>
        <w:rPr>
          <w:rFonts w:cs="Times New Roman" w:ascii="Times New Roman" w:hAnsi="Times New Roman"/>
          <w:b/>
          <w:sz w:val="28"/>
        </w:rPr>
        <w:t xml:space="preserve"> </w:t>
        <w:tab/>
        <w:t>Reduction or Increase Through Balancing Accounts</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4.2.1</w:t>
        <w:tab/>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b/>
          <w:sz w:val="28"/>
        </w:rPr>
      </w:pPr>
      <w:r>
        <w:rPr>
          <w:rFonts w:cs="Times New Roman" w:ascii="Times New Roman" w:hAnsi="Times New Roman"/>
          <w:sz w:val="28"/>
        </w:rPr>
        <w:t>4.2.2. Regardless of the option selected, any costs resulting from a modification of baseline levels remain within the residential customer class.</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pPr>
      <w:r>
        <w:rPr>
          <w:b/>
          <w:sz w:val="28"/>
        </w:rPr>
        <w:t>5.</w:t>
        <w:tab/>
      </w:r>
      <w:r>
        <w:rPr>
          <w:b/>
          <w:smallCaps/>
          <w:sz w:val="28"/>
        </w:rPr>
        <w:t xml:space="preserve">SCE Financial Solvency </w:t>
      </w:r>
    </w:p>
    <w:p>
      <w:pPr>
        <w:pStyle w:val="Normal"/>
        <w:rPr>
          <w:b/>
          <w:smallCaps/>
          <w:sz w:val="28"/>
        </w:rPr>
      </w:pPr>
      <w:r>
        <w:rPr>
          <w:b/>
          <w:smallCaps/>
          <w:sz w:val="28"/>
        </w:rPr>
      </w:r>
    </w:p>
    <w:p>
      <w:pPr>
        <w:pStyle w:val="Heading1"/>
        <w:keepLines/>
        <w:ind w:hanging="0" w:start="720" w:end="0"/>
        <w:rPr>
          <w:b/>
          <w:sz w:val="28"/>
        </w:rPr>
      </w:pPr>
      <w:r>
        <w:rPr>
          <w:b/>
          <w:sz w:val="28"/>
        </w:rPr>
        <w:t xml:space="preserve">SCE would be restored to financial solvency by issuing bonds to fund the Net Undercollected Amount.  A possible definition of Net Undercollected Amount is provided in Appendix A; material disagreement remains on the final definition.  Agreement on the allocation methodology for the Net Undercollected Amount is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Until December 31, 2002 payments toward the Net Undercollected Amount would be recovered out of existing rate levels, with no resulting increase to any customer class, and shall be assigned to all customers on an equal cents per kWh basis.  A definition for Net Undercollected Amount has been proposed in Appendix A, but has not been agreed upon.</w:t>
      </w:r>
    </w:p>
    <w:p>
      <w:pPr>
        <w:pStyle w:val="Normal"/>
        <w:ind w:start="720" w:end="0"/>
        <w:rPr>
          <w:sz w:val="28"/>
        </w:rPr>
      </w:pPr>
      <w:r>
        <w:rPr>
          <w:sz w:val="28"/>
        </w:rPr>
      </w:r>
    </w:p>
    <w:p>
      <w:pPr>
        <w:pStyle w:val="Normal"/>
        <w:ind w:start="720" w:end="0"/>
        <w:rPr>
          <w:sz w:val="28"/>
        </w:rPr>
      </w:pPr>
      <w:r>
        <w:rPr>
          <w:sz w:val="28"/>
        </w:rPr>
      </w:r>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through a non-bypassable dedicated rate component.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recovered from all customers on an equal cents per kWh basis, through a non-bypassable dedicated rate component.  </w:t>
      </w:r>
    </w:p>
    <w:p>
      <w:pPr>
        <w:pStyle w:val="ListBullet2"/>
        <w:ind w:hanging="720" w:start="1440" w:end="0"/>
        <w:rPr>
          <w:sz w:val="28"/>
        </w:rPr>
      </w:pPr>
      <w:r>
        <w:rPr>
          <w:sz w:val="28"/>
        </w:rPr>
        <w:tab/>
      </w:r>
    </w:p>
    <w:p>
      <w:pPr>
        <w:pStyle w:val="ListBullet2"/>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Current law should be modified to ensure that bonds issued for repayment of CDWR obligations are backed only by the dedicated rate component.  The bonds should be independent of the revenue streams associated with CDWR power.</w:t>
      </w:r>
    </w:p>
    <w:p>
      <w:pPr>
        <w:pStyle w:val="ListBullet2"/>
        <w:tabs>
          <w:tab w:val="clear" w:pos="720"/>
          <w:tab w:val="left" w:pos="1440" w:leader="none"/>
        </w:tabs>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w:t>
      </w:r>
      <w:r>
        <w:rPr>
          <w:sz w:val="28"/>
        </w:rPr>
        <w:t xml:space="preserve">Stranded” costs associated with CDWR forward obligations would initially be allocated among all customers on a nonbypassable, equal cents per kWh basis.  </w:t>
      </w:r>
    </w:p>
    <w:p>
      <w:pPr>
        <w:pStyle w:val="ListBullet2"/>
        <w:ind w:hanging="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 xml:space="preserve">Small customers proposed a cap on the allocation described in Section 6.3 to core customers based on market prices.  Under this concept, as market prices decline and direct access becomes comparatively more attractive, departing customers would pay a greater proportion of resulting CDWR stranded costs in the form of an exit fee. Material disagreement exists regarding the cap of CDWR stranded costs for the core class and the increase in exit fees resulting from such a cap. </w:t>
      </w:r>
    </w:p>
    <w:p>
      <w:pPr>
        <w:pStyle w:val="ListBullet2"/>
        <w:ind w:hanging="0" w:start="0" w:end="0"/>
        <w:rPr>
          <w:sz w:val="28"/>
        </w:rPr>
      </w:pPr>
      <w:r>
        <w:rPr>
          <w:sz w:val="28"/>
        </w:rPr>
      </w:r>
    </w:p>
    <w:p>
      <w:pPr>
        <w:pStyle w:val="ListBullet2"/>
        <w:ind w:hanging="0" w:start="0" w:end="0"/>
        <w:rPr>
          <w:sz w:val="28"/>
        </w:rPr>
      </w:pPr>
      <w:r>
        <w:rPr>
          <w:sz w:val="28"/>
        </w:rPr>
      </w:r>
    </w:p>
    <w:p>
      <w:pPr>
        <w:pStyle w:val="ListBullet2"/>
        <w:ind w:hanging="720" w:start="1440" w:end="0"/>
        <w:rPr>
          <w:b/>
          <w:sz w:val="28"/>
        </w:rPr>
      </w:pPr>
      <w:r>
        <w:rPr>
          <w:sz w:val="28"/>
        </w:rPr>
        <w:t>6.5</w:t>
        <w:tab/>
        <w:t xml:space="preserve">No allocation of past debt or forward obligations to new or incremental load served by new or expanded customer-specific generation.  </w:t>
      </w:r>
    </w:p>
    <w:p>
      <w:pPr>
        <w:pStyle w:val="Normal"/>
        <w:rPr>
          <w:b/>
          <w:sz w:val="28"/>
        </w:rPr>
      </w:pPr>
      <w:r>
        <w:rPr>
          <w:b/>
          <w:sz w:val="28"/>
        </w:rPr>
      </w:r>
    </w:p>
    <w:p>
      <w:pPr>
        <w:pStyle w:val="Normal"/>
        <w:rPr>
          <w:b/>
          <w:sz w:val="28"/>
        </w:rPr>
      </w:pPr>
      <w:r>
        <w:rPr>
          <w:b/>
          <w:sz w:val="28"/>
        </w:rPr>
      </w:r>
    </w:p>
    <w:p>
      <w:pPr>
        <w:pStyle w:val="Heading1"/>
        <w:keepLines/>
        <w:ind w:hanging="0" w:start="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pPr>
      <w:r>
        <w:rPr>
          <w:rFonts w:cs="Times New Roman" w:ascii="Times New Roman" w:hAnsi="Times New Roman"/>
          <w:b/>
          <w:sz w:val="28"/>
          <w:u w:val="single"/>
        </w:rPr>
        <w:t>Option 1:</w:t>
      </w:r>
      <w:r>
        <w:rPr>
          <w:rFonts w:cs="Times New Roman" w:ascii="Times New Roman" w:hAnsi="Times New Roman"/>
          <w:b/>
          <w:sz w:val="28"/>
        </w:rPr>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2.3 times book value.  Prior proposals regarding the sale of the transmission assets have extensively described terms and conditions, which might be useful in evaluating this option.</w:t>
      </w:r>
    </w:p>
    <w:p>
      <w:pPr>
        <w:pStyle w:val="ListBullet2"/>
        <w:ind w:hanging="0" w:start="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ListBullet2"/>
        <w:ind w:hanging="0" w:end="0"/>
        <w:rPr>
          <w:sz w:val="28"/>
        </w:rPr>
      </w:pPr>
      <w:r>
        <w:rPr>
          <w:sz w:val="28"/>
        </w:rPr>
      </w:r>
    </w:p>
    <w:p>
      <w:pPr>
        <w:pStyle w:val="ListBullet2"/>
        <w:ind w:hanging="0" w:end="0"/>
        <w:rPr>
          <w:sz w:val="28"/>
        </w:rPr>
      </w:pPr>
      <w:r>
        <w:rPr>
          <w:sz w:val="28"/>
        </w:rPr>
      </w:r>
    </w:p>
    <w:p>
      <w:pPr>
        <w:pStyle w:val="ListBullet2"/>
        <w:ind w:hanging="0" w:end="0"/>
        <w:rPr>
          <w:sz w:val="28"/>
        </w:rPr>
      </w:pPr>
      <w:r>
        <w:rPr>
          <w:sz w:val="28"/>
        </w:rPr>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cost-efficient operations and facilitating seamless market transactions while preserving the benefits of existing contractual rights.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Transmission system operations now conducted by the CA ISO should be fundamentally reformed to reduce both grid management costs and total system costs, maintain system reliability, facilitate orderly regional markets, lower generation reserve margins required to operate the system, and facilitate the interconnection and operation of non-traditional resources such as demand side bidding, customer-specific generation, and intermittent resources.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 xml:space="preserve">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   </w:t>
      </w:r>
    </w:p>
    <w:p>
      <w:pPr>
        <w:pStyle w:val="Heading4"/>
        <w:ind w:hanging="0" w:start="720" w:end="0"/>
        <w:rPr/>
      </w:pPr>
      <w:r>
        <w:rPr>
          <w:rFonts w:cs="Times New Roman" w:ascii="Times New Roman" w:hAnsi="Times New Roman"/>
          <w:sz w:val="28"/>
          <w:u w:val="single"/>
        </w:rPr>
        <w:t>Option 2:</w:t>
      </w:r>
      <w:r>
        <w:rPr>
          <w:rFonts w:cs="Times New Roman" w:ascii="Times New Roman" w:hAnsi="Times New Roman"/>
          <w:sz w:val="28"/>
        </w:rPr>
        <w:tab/>
        <w:t>The State purchases an option to acquire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The primary purpose of the transaction would be to provide additional revenues for returning SCE to financial stability, rather than to assume operation of the grid.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start="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considered in conjunction with the transmission purchase option approach to maximize the opportunity for state assistance in resolution of the crisis.  SCE does not agree that stock warrants should be part of any solution.</w:t>
      </w:r>
    </w:p>
    <w:p>
      <w:pPr>
        <w:pStyle w:val="ListBullet2"/>
        <w:rPr>
          <w:sz w:val="28"/>
        </w:rPr>
      </w:pPr>
      <w:r>
        <w:rPr>
          <w:sz w:val="28"/>
        </w:rPr>
      </w:r>
    </w:p>
    <w:p>
      <w:pPr>
        <w:pStyle w:val="Normal"/>
        <w:rPr>
          <w:sz w:val="28"/>
        </w:rPr>
      </w:pPr>
      <w:r>
        <w:rPr>
          <w:sz w:val="28"/>
        </w:rPr>
      </w:r>
    </w:p>
    <w:p>
      <w:pPr>
        <w:pStyle w:val="ListBullet3"/>
        <w:tabs>
          <w:tab w:val="left" w:pos="720" w:leader="none"/>
        </w:tabs>
        <w:ind w:hanging="720" w:start="720" w:end="0"/>
        <w:rPr>
          <w:b/>
          <w:sz w:val="28"/>
        </w:rPr>
      </w:pPr>
      <w:r>
        <w:rPr>
          <w:b/>
          <w:smallCaps/>
          <w:sz w:val="28"/>
        </w:rPr>
        <w:t>8.</w:t>
        <w:tab/>
        <w:t>Customer-Specific Generation</w:t>
      </w:r>
    </w:p>
    <w:p>
      <w:pPr>
        <w:pStyle w:val="ListBullet3"/>
        <w:tabs>
          <w:tab w:val="left" w:pos="720" w:leader="none"/>
        </w:tabs>
        <w:ind w:hanging="720" w:start="720" w:end="0"/>
        <w:rPr>
          <w:b/>
          <w:sz w:val="28"/>
        </w:rPr>
      </w:pPr>
      <w:r>
        <w:rPr>
          <w:b/>
          <w:sz w:val="28"/>
        </w:rPr>
      </w:r>
    </w:p>
    <w:p>
      <w:pPr>
        <w:pStyle w:val="BodyText"/>
        <w:ind w:start="720" w:end="0"/>
        <w:rPr/>
      </w:pPr>
      <w:r>
        <w:rPr>
          <w:rFonts w:cs="Times New Roman" w:ascii="Times New Roman" w:hAnsi="Times New Roman"/>
          <w:b/>
          <w:sz w:val="28"/>
        </w:rPr>
        <w:t>Any solution should encourage the development of customer-specific generation to increase and diversify the state’s generation supply, relieve the demands on the state’s transmission grid and encourage self-reliance in energy cost and supply management by customers.  Material disagreement remains on the appropriate means to achieve these objectives.</w:t>
      </w:r>
      <w:r>
        <w:rPr>
          <w:rFonts w:cs="Times New Roman" w:ascii="Times New Roman" w:hAnsi="Times New Roman"/>
          <w:sz w:val="28"/>
        </w:rPr>
        <w:tab/>
      </w:r>
    </w:p>
    <w:p>
      <w:pPr>
        <w:pStyle w:val="BodyText"/>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As an alternative to Section 8.1.1, the state should adopt and implement a substantial demand reduction fund to encourage the development of customer-specific generation.  Payments from the fund would be available to customers installing gas-fired or renewable generation that is located on or nearby the site of use (consistent with existing law) and that would be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The State would adopt and retain metering principles for load served by customer-specific generation, which net customer load with customer-specific generation for purposes of determining transmission grid use, thereby avoiding increases metering costs, Transmission Access Charges, Grid Management Charges, ancillary services costs, and scheduling charges.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rFonts w:ascii="Times New Roman" w:hAnsi="Times New Roman" w:cs="Times New Roman"/>
        </w:rPr>
      </w:pPr>
      <w:r>
        <w:rPr>
          <w:rFonts w:cs="Times New Roman" w:ascii="Times New Roman" w:hAnsi="Times New Roman"/>
          <w:sz w:val="28"/>
        </w:rPr>
        <w:t>8.1.4</w:t>
        <w:tab/>
        <w:t>In recognition of the integrated relationship between customer-specific generation and its load, the state would ensure that customer-specific generation is not subject to CPUC or ISO regulation of operations.</w:t>
      </w:r>
    </w:p>
    <w:p>
      <w:pPr>
        <w:pStyle w:val="BodyText"/>
        <w:ind w:start="1440" w:end="0"/>
        <w:rPr>
          <w:rFonts w:ascii="Times New Roman" w:hAnsi="Times New Roman" w:cs="Times New Roman"/>
          <w:sz w:val="28"/>
        </w:rPr>
      </w:pPr>
      <w:r>
        <w:rPr>
          <w:rFonts w:cs="Times New Roman" w:ascii="Times New Roman" w:hAnsi="Times New Roman"/>
          <w:sz w:val="28"/>
        </w:rPr>
      </w:r>
    </w:p>
    <w:p>
      <w:pPr>
        <w:pStyle w:val="ListBullet3"/>
        <w:ind w:hanging="0" w:start="0" w:end="0"/>
        <w:rPr>
          <w:rFonts w:ascii="Times New Roman" w:hAnsi="Times New Roman" w:cs="Times New Roman"/>
          <w:sz w:val="28"/>
        </w:rPr>
      </w:pPr>
      <w:r>
        <w:rPr>
          <w:rFonts w:cs="Times New Roman"/>
          <w:sz w:val="28"/>
        </w:rPr>
      </w:r>
    </w:p>
    <w:p>
      <w:pPr>
        <w:pStyle w:val="Heading1"/>
        <w:ind w:hanging="0" w:start="0"/>
        <w:rPr>
          <w:b/>
          <w:sz w:val="28"/>
          <w:highlight w:val="yellow"/>
        </w:rPr>
      </w:pPr>
      <w:r>
        <w:rPr>
          <w:b/>
          <w:sz w:val="28"/>
        </w:rPr>
        <w:t>9.</w:t>
        <w:tab/>
      </w:r>
      <w:r>
        <w:rPr>
          <w:b/>
          <w:smallCaps/>
          <w:sz w:val="28"/>
        </w:rPr>
        <w:t>Renewable Energy</w:t>
      </w:r>
      <w:r>
        <w:rPr>
          <w:b/>
          <w:sz w:val="28"/>
        </w:rPr>
        <w:t xml:space="preserve"> </w:t>
      </w:r>
    </w:p>
    <w:p>
      <w:pPr>
        <w:pStyle w:val="Normal"/>
        <w:rPr>
          <w:b/>
          <w:sz w:val="28"/>
          <w:highlight w:val="yellow"/>
        </w:rPr>
      </w:pPr>
      <w:r>
        <w:rPr>
          <w:b/>
          <w:sz w:val="28"/>
          <w:highlight w:val="yellow"/>
        </w:rPr>
      </w:r>
    </w:p>
    <w:p>
      <w:pPr>
        <w:pStyle w:val="Normal"/>
        <w:ind w:start="720" w:end="0"/>
        <w:rPr>
          <w:b/>
          <w:sz w:val="28"/>
        </w:rPr>
      </w:pPr>
      <w:r>
        <w:rPr>
          <w:b/>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sz w:val="28"/>
        </w:rPr>
      </w:pPr>
      <w:r>
        <w:rPr>
          <w:b/>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ind w:hanging="720" w:start="1440" w:end="0"/>
        <w:rPr>
          <w:sz w:val="28"/>
        </w:rPr>
      </w:pPr>
      <w:r>
        <w:rPr>
          <w:sz w:val="28"/>
        </w:rPr>
        <w:t xml:space="preserve">9.1    </w:t>
        <w:tab/>
        <w:t>A new Renewable Portfolio Standard applicable to all load-serving entities (potentially excluding customer-specific generation)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sz w:val="28"/>
        </w:rPr>
      </w:pPr>
      <w:r>
        <w:rPr>
          <w:rFonts w:cs="Times New Roman" w:ascii="Times New Roman" w:hAnsi="Times New Roman"/>
          <w:b w:val="false"/>
          <w:sz w:val="28"/>
        </w:rPr>
        <w:t xml:space="preserve">9.2    </w:t>
        <w:tab/>
        <w:t xml:space="preserve">The Renewable Portfolio Standard would complement the existing public goods program, with no additional funding.  Together, the RPS and the public goods program would facilitate the development of, and energy production by, new renewable resources, and will provide California with fuel diversity and environmental benefits.  </w:t>
      </w:r>
    </w:p>
    <w:p>
      <w:pPr>
        <w:pStyle w:val="Normal"/>
        <w:tabs>
          <w:tab w:val="clear" w:pos="720"/>
          <w:tab w:val="left" w:pos="1440" w:leader="none"/>
        </w:tabs>
        <w:ind w:hanging="720" w:start="1440" w:end="0"/>
        <w:rPr>
          <w:rFonts w:ascii="Times New Roman" w:hAnsi="Times New Roman" w:cs="Times New Roman"/>
          <w:b/>
          <w:sz w:val="28"/>
        </w:rPr>
      </w:pPr>
      <w:r>
        <w:rPr>
          <w:rFonts w:cs="Times New Roman"/>
          <w:b/>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sz w:val="28"/>
        </w:rPr>
        <w:t xml:space="preserve">9.3    </w:t>
        <w:tab/>
        <w:t>The California Energy Commission would facilitate the development of a system of tradable credits to implement the Renewable Portfolio Standard at least cost.  To meet the standard, each load-serving entity, potentially excluding customer-specific generation,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start="720" w:end="0"/>
        <w:rPr/>
      </w:pPr>
      <w:r>
        <w:rPr/>
        <w:t xml:space="preserve">9.4    Transmission access and upgrades necessary to meet the state policy of </w:t>
        <w:tab/>
        <w:t xml:space="preserve">expanding renewable energy shall be carried out by the transmission </w:t>
        <w:tab/>
        <w:t>owner and the system operator as expeditiously as possible.</w:t>
      </w:r>
    </w:p>
    <w:p>
      <w:pPr>
        <w:pStyle w:val="BodyText2"/>
        <w:rPr/>
      </w:pPr>
      <w:r>
        <w:rPr/>
      </w:r>
    </w:p>
    <w:p>
      <w:pPr>
        <w:pStyle w:val="BodyText2"/>
        <w:rPr/>
      </w:pPr>
      <w:r>
        <w:rPr/>
      </w:r>
    </w:p>
    <w:p>
      <w:pPr>
        <w:pStyle w:val="Heading1"/>
        <w:ind w:hanging="0" w:start="0"/>
        <w:rPr>
          <w:b/>
          <w:smallCaps/>
          <w:sz w:val="28"/>
        </w:rPr>
      </w:pPr>
      <w:r>
        <w:rPr>
          <w:b/>
          <w:smallCaps/>
          <w:sz w:val="28"/>
        </w:rPr>
        <w:t>10.</w:t>
        <w:tab/>
        <w:t>Environmental Stewardship</w:t>
      </w:r>
    </w:p>
    <w:p>
      <w:pPr>
        <w:pStyle w:val="Normal"/>
        <w:rPr>
          <w:b/>
          <w:smallCaps/>
          <w:sz w:val="28"/>
        </w:rPr>
      </w:pPr>
      <w:r>
        <w:rPr>
          <w:b/>
          <w:smallCaps/>
          <w:sz w:val="28"/>
        </w:rPr>
      </w:r>
    </w:p>
    <w:p>
      <w:pPr>
        <w:pStyle w:val="Normal"/>
        <w:ind w:start="720" w:end="0"/>
        <w:rPr>
          <w:b/>
          <w:sz w:val="28"/>
        </w:rPr>
      </w:pPr>
      <w:r>
        <w:rPr>
          <w:b/>
          <w:sz w:val="28"/>
        </w:rPr>
        <w:t>Any agreement should protect the disposition and management of environmentally sensitive utility lands, and guarantee that the operations of hydroelectric facilities support specific commitments to restore aquatic environments affected by their operations.</w:t>
      </w:r>
    </w:p>
    <w:p>
      <w:pPr>
        <w:pStyle w:val="Normal"/>
        <w:rPr>
          <w:b/>
          <w:sz w:val="28"/>
        </w:rPr>
      </w:pPr>
      <w:r>
        <w:rPr>
          <w:b/>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sz w:val="28"/>
        </w:rPr>
      </w:pPr>
      <w:r>
        <w:rPr>
          <w:rFonts w:cs="Times New Roman" w:ascii="Times New Roman" w:hAnsi="Times New Roman"/>
          <w:b w:val="false"/>
          <w:sz w:val="28"/>
        </w:rPr>
        <w:br/>
      </w:r>
    </w:p>
    <w:p>
      <w:pPr>
        <w:pStyle w:val="BodyText2"/>
        <w:tabs>
          <w:tab w:val="clear" w:pos="720"/>
          <w:tab w:val="left" w:pos="1440" w:leader="none"/>
          <w:tab w:val="left" w:pos="1530" w:leader="none"/>
        </w:tabs>
        <w:rPr>
          <w:rFonts w:ascii="Times New Roman" w:hAnsi="Times New Roman" w:cs="Times New Roman"/>
          <w:b/>
          <w:sz w:val="28"/>
        </w:rPr>
      </w:pPr>
      <w:r>
        <w:rPr>
          <w:rFonts w:cs="Times New Roman"/>
          <w:b/>
          <w:sz w:val="28"/>
        </w:rPr>
      </w:r>
      <w:r>
        <w:br w:type="page"/>
      </w:r>
    </w:p>
    <w:p>
      <w:pPr>
        <w:pStyle w:val="BodyText2"/>
        <w:tabs>
          <w:tab w:val="clear" w:pos="720"/>
          <w:tab w:val="left" w:pos="1440" w:leader="none"/>
          <w:tab w:val="left" w:pos="1530" w:leader="none"/>
        </w:tabs>
        <w:rPr/>
      </w:pPr>
      <w:r>
        <w:rPr/>
      </w:r>
    </w:p>
    <w:p>
      <w:pPr>
        <w:pStyle w:val="BodyText2"/>
        <w:ind w:hanging="720" w:start="720" w:end="0"/>
        <w:jc w:val="center"/>
        <w:rPr/>
      </w:pPr>
      <w:r>
        <w:rPr/>
      </w:r>
    </w:p>
    <w:p>
      <w:pPr>
        <w:pStyle w:val="BodyText2"/>
        <w:ind w:hanging="720" w:start="720" w:end="0"/>
        <w:jc w:val="center"/>
        <w:rPr>
          <w:b/>
        </w:rPr>
      </w:pPr>
      <w:r>
        <w:rPr>
          <w:b/>
        </w:rPr>
        <w:t>APPENDIX A</w:t>
      </w:r>
    </w:p>
    <w:p>
      <w:pPr>
        <w:pStyle w:val="BodyText2"/>
        <w:ind w:hanging="720" w:start="720" w:end="0"/>
        <w:jc w:val="center"/>
        <w:rPr>
          <w:b/>
        </w:rPr>
      </w:pPr>
      <w:r>
        <w:rPr>
          <w:b/>
        </w:rPr>
      </w:r>
    </w:p>
    <w:p>
      <w:pPr>
        <w:pStyle w:val="BodyText2"/>
        <w:ind w:hanging="720" w:start="720" w:end="0"/>
        <w:jc w:val="center"/>
        <w:rPr>
          <w:b/>
        </w:rPr>
      </w:pPr>
      <w:r>
        <w:rPr>
          <w:b/>
        </w:rPr>
        <w:t>“</w:t>
      </w:r>
      <w:r>
        <w:rPr>
          <w:b/>
        </w:rPr>
        <w:t>Net Undercollected Amount”</w:t>
      </w:r>
    </w:p>
    <w:p>
      <w:pPr>
        <w:pStyle w:val="BodyText2"/>
        <w:ind w:hanging="720" w:start="720" w:end="0"/>
        <w:jc w:val="center"/>
        <w:rPr>
          <w:b/>
        </w:rPr>
      </w:pPr>
      <w:r>
        <w:rPr>
          <w:b/>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rFonts w:cs="Times New Roman" w:ascii="Times New Roman" w:hAnsi="Times New Roman"/>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rFonts w:cs="Times New Roman" w:ascii="Times New Roman" w:hAnsi="Times New Roman"/>
        </w:rPr>
        <w:t xml:space="preserve"> </w:t>
      </w:r>
      <w:r>
        <w:rPr>
          <w:rFonts w:cs="Times New Roman" w:ascii="Times New Roman" w:hAnsi="Times New Roman"/>
          <w:sz w:val="28"/>
        </w:rPr>
        <w:t xml:space="preserve">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w:t>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pPr>
      <w:r>
        <w:rPr>
          <w:rFonts w:cs="Times New Roman" w:ascii="Times New Roman" w:hAnsi="Times New Roman"/>
          <w:sz w:val="28"/>
        </w:rPr>
        <w:t>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iCs/>
        <w:sz w:val="24"/>
      </w:rPr>
      <w:t xml:space="preserve">Page </w:t>
    </w:r>
    <w:r>
      <w:rPr>
        <w:rStyle w:val="PageNumber"/>
        <w:i/>
        <w:iCs/>
        <w:sz w:val="24"/>
      </w:rPr>
      <w:fldChar w:fldCharType="begin"/>
    </w:r>
    <w:r>
      <w:rPr>
        <w:rStyle w:val="PageNumber"/>
        <w:sz w:val="24"/>
        <w:i/>
        <w:iCs/>
      </w:rPr>
      <w:instrText xml:space="preserve"> PAGE </w:instrText>
    </w:r>
    <w:r>
      <w:rPr>
        <w:rStyle w:val="PageNumber"/>
        <w:sz w:val="24"/>
        <w:i/>
        <w:iCs/>
      </w:rPr>
      <w:fldChar w:fldCharType="separate"/>
    </w:r>
    <w:r>
      <w:rPr>
        <w:rStyle w:val="PageNumber"/>
        <w:sz w:val="24"/>
        <w:i/>
        <w:iCs/>
      </w:rPr>
      <w:t>14</w:t>
    </w:r>
    <w:r>
      <w:rPr>
        <w:rStyle w:val="PageNumber"/>
        <w:sz w:val="24"/>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iCs/>
        <w:sz w:val="24"/>
      </w:rPr>
      <w:t xml:space="preserve">Page </w:t>
    </w:r>
    <w:r>
      <w:rPr>
        <w:rStyle w:val="PageNumber"/>
        <w:i/>
        <w:iCs/>
        <w:sz w:val="24"/>
      </w:rPr>
      <w:fldChar w:fldCharType="begin"/>
    </w:r>
    <w:r>
      <w:rPr>
        <w:rStyle w:val="PageNumber"/>
        <w:sz w:val="24"/>
        <w:i/>
        <w:iCs/>
      </w:rPr>
      <w:instrText xml:space="preserve"> PAGE </w:instrText>
    </w:r>
    <w:r>
      <w:rPr>
        <w:rStyle w:val="PageNumber"/>
        <w:sz w:val="24"/>
        <w:i/>
        <w:iCs/>
      </w:rPr>
      <w:fldChar w:fldCharType="separate"/>
    </w:r>
    <w:r>
      <w:rPr>
        <w:rStyle w:val="PageNumber"/>
        <w:sz w:val="24"/>
        <w:i/>
        <w:iCs/>
      </w:rPr>
      <w:t>1</w:t>
    </w:r>
    <w:r>
      <w:rPr>
        <w:rStyle w:val="PageNumber"/>
        <w:sz w:val="24"/>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i w:val="false"/>
      <w:sz w:val="28"/>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val="false"/>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sz w:val="28"/>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i w:val="false"/>
      <w:sz w:val="28"/>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style>
  <w:style w:type="character" w:styleId="WW8Num45z0">
    <w:name w:val="WW8Num45z0"/>
    <w:qFormat/>
    <w:rPr>
      <w:b w:val="false"/>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3z1">
    <w:name w:val="WW8Num53z1"/>
    <w:qFormat/>
    <w:rPr>
      <w:rFonts w:ascii="Times New Roman" w:hAnsi="Times New Roman" w:cs="Times New Roman"/>
      <w:sz w:val="28"/>
    </w:rPr>
  </w:style>
  <w:style w:type="character" w:styleId="WW8Num54z0">
    <w:name w:val="WW8Num54z0"/>
    <w:qFormat/>
    <w:rPr>
      <w:rFonts w:ascii="Times New Roman" w:hAnsi="Times New Roman" w:cs="CentSchbook BT;Times New Roman"/>
      <w:b/>
      <w:i w:val="false"/>
      <w:caps w:val="false"/>
      <w:smallCaps w:val="false"/>
      <w:color w:val="000000"/>
      <w:u w:val="none"/>
    </w:rPr>
  </w:style>
  <w:style w:type="character" w:styleId="WW8Num54z1">
    <w:name w:val="WW8Num54z1"/>
    <w:qFormat/>
    <w:rPr>
      <w:rFonts w:ascii="Century Schoolbook" w:hAnsi="Century Schoolbook" w:cs="###;Times New Roman"/>
      <w:b/>
      <w:i w:val="false"/>
      <w:caps w:val="false"/>
      <w:smallCaps w:val="false"/>
      <w:color w:val="000000"/>
      <w:sz w:val="24"/>
      <w:u w:val="none"/>
    </w:rPr>
  </w:style>
  <w:style w:type="character" w:styleId="WW8Num54z2">
    <w:name w:val="WW8Num54z2"/>
    <w:qFormat/>
    <w:rPr>
      <w:rFonts w:eastAsia="###;Times New Roman" w:cs="###;Times New Roman"/>
      <w:b w:val="false"/>
      <w:i w:val="false"/>
      <w:caps w:val="false"/>
      <w:smallCaps w:val="false"/>
      <w:color w:val="000000"/>
      <w:u w:val="none"/>
    </w:rPr>
  </w:style>
  <w:style w:type="character" w:styleId="WW8Num55z0">
    <w:name w:val="WW8Num55z0"/>
    <w:qFormat/>
    <w:rPr/>
  </w:style>
  <w:style w:type="character" w:styleId="WW8Num56z0">
    <w:name w:val="WW8Num56z0"/>
    <w:qFormat/>
    <w:rPr/>
  </w:style>
  <w:style w:type="character" w:styleId="WW8Num57z0">
    <w:name w:val="WW8Num57z0"/>
    <w:qFormat/>
    <w:rPr>
      <w:b/>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2001-06-29T15:47:00Z</dcterms:created>
  <dc:creator>D.J. Smith</dc:creator>
  <dc:description/>
  <dc:language>en-CA</dc:language>
  <cp:lastModifiedBy>D.J. Smith</cp:lastModifiedBy>
  <cp:lastPrinted>2001-07-02T14:43:00Z</cp:lastPrinted>
  <dcterms:modified xsi:type="dcterms:W3CDTF">2001-07-02T19:14:00Z</dcterms:modified>
  <cp:revision>14</cp:revision>
  <dc:subject/>
  <dc:title>NEXT STEPS TOWARD IMPROVING </dc:title>
</cp:coreProperties>
</file>