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sz w:val="24"/>
          <w:szCs w:val="24"/>
        </w:rPr>
      </w:pPr>
      <w:r>
        <w:rPr>
          <w:sz w:val="24"/>
          <w:szCs w:val="24"/>
        </w:rPr>
      </w:r>
      <w:r>
        <mc:AlternateContent>
          <mc:Choice Requires="wps">
            <w:drawing>
              <wp:anchor behindDoc="0" distT="0" distB="0" distL="118745" distR="118745" simplePos="0" locked="0" layoutInCell="0" allowOverlap="1" relativeHeight="2">
                <wp:simplePos x="0" y="0"/>
                <wp:positionH relativeFrom="page">
                  <wp:posOffset>910590</wp:posOffset>
                </wp:positionH>
                <wp:positionV relativeFrom="page">
                  <wp:posOffset>457835</wp:posOffset>
                </wp:positionV>
                <wp:extent cx="1600200" cy="732155"/>
                <wp:effectExtent l="0" t="0" r="0" b="0"/>
                <wp:wrapSquare wrapText="bothSides"/>
                <wp:docPr id="1" name="Frame1"/>
                <a:graphic xmlns:a="http://schemas.openxmlformats.org/drawingml/2006/main">
                  <a:graphicData uri="http://schemas.microsoft.com/office/word/2010/wordprocessingShape">
                    <wps:wsp>
                      <wps:cNvSpPr txBox="1"/>
                      <wps:spPr>
                        <a:xfrm>
                          <a:off x="0" y="0"/>
                          <a:ext cx="1600200" cy="732155"/>
                        </a:xfrm>
                        <a:prstGeom prst="rect"/>
                        <a:solidFill>
                          <a:srgbClr val="FFFFFF">
                            <a:alpha val="0"/>
                          </a:srgbClr>
                        </a:solidFill>
                      </wps:spPr>
                      <wps:txbx>
                        <w:txbxContent>
                          <w:p>
                            <w:pPr>
                              <w:pStyle w:val="Normal"/>
                              <w:widowControl/>
                              <w:rPr>
                                <w:sz w:val="24"/>
                                <w:szCs w:val="24"/>
                              </w:rPr>
                            </w:pPr>
                            <w:r>
                              <w:rPr/>
                              <w:drawing>
                                <wp:inline distT="0" distB="0" distL="0" distR="0">
                                  <wp:extent cx="1869440" cy="76200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0" t="0" r="-3058" b="-3005"/>
                                          <a:stretch>
                                            <a:fillRect/>
                                          </a:stretch>
                                        </pic:blipFill>
                                        <pic:spPr bwMode="auto">
                                          <a:xfrm>
                                            <a:off x="0" y="0"/>
                                            <a:ext cx="1869440" cy="76200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126pt;height:57.65pt;mso-wrap-distance-left:9.35pt;mso-wrap-distance-right:9.35pt;mso-wrap-distance-top:0pt;mso-wrap-distance-bottom:0pt;margin-top:36.05pt;mso-position-vertical-relative:page;margin-left:71.7pt;mso-position-horizontal-relative:page">
                <v:fill opacity="0f"/>
                <v:textbox inset="0in,0in,0in,0in">
                  <w:txbxContent>
                    <w:p>
                      <w:pPr>
                        <w:pStyle w:val="Normal"/>
                        <w:widowControl/>
                        <w:rPr>
                          <w:sz w:val="24"/>
                          <w:szCs w:val="24"/>
                        </w:rPr>
                      </w:pPr>
                      <w:r>
                        <w:rPr/>
                        <w:drawing>
                          <wp:inline distT="0" distB="0" distL="0" distR="0">
                            <wp:extent cx="1869440" cy="76200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0" t="0" r="-3058" b="-3005"/>
                                    <a:stretch>
                                      <a:fillRect/>
                                    </a:stretch>
                                  </pic:blipFill>
                                  <pic:spPr bwMode="auto">
                                    <a:xfrm>
                                      <a:off x="0" y="0"/>
                                      <a:ext cx="1869440" cy="762000"/>
                                    </a:xfrm>
                                    <a:prstGeom prst="rect">
                                      <a:avLst/>
                                    </a:prstGeom>
                                    <a:noFill/>
                                  </pic:spPr>
                                </pic:pic>
                              </a:graphicData>
                            </a:graphic>
                          </wp:inline>
                        </w:drawing>
                      </w:r>
                    </w:p>
                  </w:txbxContent>
                </v:textbox>
                <w10:wrap type="square"/>
              </v:rect>
            </w:pict>
          </mc:Fallback>
        </mc:AlternateContent>
      </w:r>
    </w:p>
    <w:p>
      <w:pPr>
        <w:pStyle w:val="Normal"/>
        <w:widowControl/>
        <w:ind w:firstLine="720" w:end="0"/>
        <w:jc w:val="center"/>
        <w:rPr>
          <w:sz w:val="24"/>
          <w:szCs w:val="24"/>
        </w:rPr>
      </w:pPr>
      <w:r>
        <w:rPr>
          <w:sz w:val="24"/>
          <w:szCs w:val="24"/>
        </w:rPr>
      </w:r>
    </w:p>
    <w:p>
      <w:pPr>
        <w:pStyle w:val="Normal"/>
        <w:widowControl/>
        <w:ind w:firstLine="720" w:end="0"/>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t>[Insert Date]</w:t>
      </w:r>
    </w:p>
    <w:p>
      <w:pPr>
        <w:pStyle w:val="Normal"/>
        <w:widowControl/>
        <w:rPr/>
      </w:pPr>
      <w:r>
        <w:rPr/>
      </w:r>
    </w:p>
    <w:p>
      <w:pPr>
        <w:pStyle w:val="Normal"/>
        <w:widowControl/>
        <w:rPr/>
      </w:pPr>
      <w:r>
        <w:rPr/>
      </w:r>
    </w:p>
    <w:p>
      <w:pPr>
        <w:pStyle w:val="Normal"/>
        <w:widowControl/>
        <w:rPr/>
      </w:pPr>
      <w:r>
        <w:rPr/>
        <w:t>[Customer Name]</w:t>
      </w:r>
    </w:p>
    <w:p>
      <w:pPr>
        <w:pStyle w:val="Normal"/>
        <w:widowControl/>
        <w:rPr/>
      </w:pPr>
      <w:r>
        <w:rPr/>
        <w:t>[Title]</w:t>
      </w:r>
    </w:p>
    <w:p>
      <w:pPr>
        <w:pStyle w:val="Normal"/>
        <w:widowControl/>
        <w:rPr/>
      </w:pPr>
      <w:r>
        <w:rPr/>
        <w:t>[Company Name]</w:t>
      </w:r>
    </w:p>
    <w:p>
      <w:pPr>
        <w:pStyle w:val="Normal"/>
        <w:widowControl/>
        <w:rPr/>
      </w:pPr>
      <w:r>
        <w:rPr/>
        <w:t>[Address]</w:t>
      </w:r>
    </w:p>
    <w:p>
      <w:pPr>
        <w:pStyle w:val="Normal"/>
        <w:widowControl/>
        <w:rPr/>
      </w:pPr>
      <w:r>
        <w:rPr/>
        <w:t>[City, State, Zip]</w:t>
      </w:r>
    </w:p>
    <w:p>
      <w:pPr>
        <w:pStyle w:val="Normal"/>
        <w:widowControl/>
        <w:rPr/>
      </w:pPr>
      <w:r>
        <w:rPr/>
      </w:r>
    </w:p>
    <w:p>
      <w:pPr>
        <w:pStyle w:val="Normal"/>
        <w:widowControl/>
        <w:rPr>
          <w:b/>
          <w:bCs/>
        </w:rPr>
      </w:pPr>
      <w:r>
        <w:rPr>
          <w:b/>
          <w:bCs/>
        </w:rPr>
        <w:t>RE:</w:t>
        <w:tab/>
        <w:t>CPUC SUSPENDS PENALTIES FOR INTERRUPTIBLE RATE PROGRAMS</w:t>
      </w:r>
    </w:p>
    <w:p>
      <w:pPr>
        <w:pStyle w:val="Normal"/>
        <w:widowControl/>
        <w:rPr>
          <w:b/>
          <w:bCs/>
        </w:rPr>
      </w:pPr>
      <w:r>
        <w:rPr>
          <w:b/>
          <w:bCs/>
        </w:rPr>
      </w:r>
    </w:p>
    <w:p>
      <w:pPr>
        <w:pStyle w:val="Normal"/>
        <w:widowControl/>
        <w:rPr/>
      </w:pPr>
      <w:r>
        <w:rPr/>
        <w:t>Dear Interruptible Service Customer:</w:t>
      </w:r>
    </w:p>
    <w:p>
      <w:pPr>
        <w:pStyle w:val="Normal"/>
        <w:widowControl/>
        <w:rPr/>
      </w:pPr>
      <w:r>
        <w:rPr/>
      </w:r>
    </w:p>
    <w:p>
      <w:pPr>
        <w:pStyle w:val="Normal"/>
        <w:widowControl/>
        <w:rPr/>
      </w:pPr>
      <w:r>
        <w:rPr/>
        <w:t xml:space="preserve">In response to the electrical market crisis, on January 26, 2001, the California Public Utilities Commission (CPUC) issued Decision No. 01-01-056 (Decision) which, effective January 26, 2001, temporarily suspends the interruptible program penalties and the tolling of interruption events and hours towards the program’s annual limit.  </w:t>
      </w:r>
      <w:r>
        <w:rPr>
          <w:b/>
          <w:bCs/>
        </w:rPr>
        <w:t>These changes are temporary until Southern California Edison (SCE) is notified otherwise by the CPUC.</w:t>
      </w:r>
      <w:r>
        <w:rPr/>
        <w:t xml:space="preserve">  </w:t>
      </w:r>
    </w:p>
    <w:p>
      <w:pPr>
        <w:pStyle w:val="Normal"/>
        <w:widowControl/>
        <w:rPr/>
      </w:pPr>
      <w:r>
        <w:rPr/>
      </w:r>
    </w:p>
    <w:p>
      <w:pPr>
        <w:pStyle w:val="Normal"/>
        <w:widowControl/>
        <w:rPr/>
      </w:pPr>
      <w:r>
        <w:rPr/>
        <w:t>In summary, the impact of this Decision to SCE’s interruptible program is as follows:</w:t>
      </w:r>
    </w:p>
    <w:p>
      <w:pPr>
        <w:pStyle w:val="Normal"/>
        <w:widowControl/>
        <w:rPr/>
      </w:pPr>
      <w:r>
        <w:rPr/>
      </w:r>
    </w:p>
    <w:p>
      <w:pPr>
        <w:pStyle w:val="Heading1"/>
        <w:widowControl/>
        <w:ind w:hanging="0" w:start="0"/>
        <w:rPr/>
      </w:pPr>
      <w:r>
        <w:rPr/>
        <w:t>Interruptible Programs Remain Active</w:t>
      </w:r>
    </w:p>
    <w:p>
      <w:pPr>
        <w:pStyle w:val="Normal"/>
        <w:widowControl/>
        <w:rPr/>
      </w:pPr>
      <w:r>
        <w:rPr/>
      </w:r>
    </w:p>
    <w:p>
      <w:pPr>
        <w:pStyle w:val="Normal"/>
        <w:numPr>
          <w:ilvl w:val="0"/>
          <w:numId w:val="2"/>
        </w:numPr>
        <w:tabs>
          <w:tab w:val="clear" w:pos="720"/>
          <w:tab w:val="left" w:pos="0" w:leader="none"/>
        </w:tabs>
        <w:ind w:hanging="0" w:start="360" w:end="0"/>
        <w:rPr/>
      </w:pPr>
      <w:r>
        <w:rPr>
          <w:color w:val="000000"/>
        </w:rPr>
        <w:t>The Decision did NOT</w:t>
      </w:r>
      <w:r>
        <w:rPr/>
        <w:t xml:space="preserve"> terminate or suspend SCE's interruptible programs.  Customers are still strongly urged to reduce their demand to their Firm Service Level or to the maximum extent feasible when requested.  </w:t>
      </w:r>
    </w:p>
    <w:p>
      <w:pPr>
        <w:pStyle w:val="Normal"/>
        <w:rPr/>
      </w:pPr>
      <w:r>
        <w:rPr/>
      </w:r>
    </w:p>
    <w:p>
      <w:pPr>
        <w:pStyle w:val="Normal"/>
        <w:numPr>
          <w:ilvl w:val="0"/>
          <w:numId w:val="3"/>
        </w:numPr>
        <w:tabs>
          <w:tab w:val="clear" w:pos="720"/>
          <w:tab w:val="left" w:pos="0" w:leader="none"/>
        </w:tabs>
        <w:ind w:hanging="360" w:start="720" w:end="0"/>
        <w:rPr/>
      </w:pPr>
      <w:r>
        <w:rPr/>
        <w:t>The CPUC is not yet allowing customers to opt out of the program or increase their Firm Service Level.  That option remains suspended at this time.</w:t>
      </w:r>
    </w:p>
    <w:p>
      <w:pPr>
        <w:pStyle w:val="Normal"/>
        <w:rPr/>
      </w:pPr>
      <w:r>
        <w:rPr/>
      </w:r>
    </w:p>
    <w:p>
      <w:pPr>
        <w:pStyle w:val="Normal"/>
        <w:numPr>
          <w:ilvl w:val="0"/>
          <w:numId w:val="4"/>
        </w:numPr>
        <w:tabs>
          <w:tab w:val="clear" w:pos="720"/>
          <w:tab w:val="left" w:pos="0" w:leader="none"/>
        </w:tabs>
        <w:ind w:hanging="0" w:start="360" w:end="0"/>
        <w:rPr>
          <w:color w:val="000000"/>
        </w:rPr>
      </w:pPr>
      <w:r>
        <w:rPr>
          <w:color w:val="000000"/>
        </w:rPr>
        <w:t>Except as indicated below, all other provisions of the interruptible tariffs and program operations remain intact.  In other words, customers are expected to continue to receive interruptible rate discounts and SCE will continue to communicate to customers via the RTU and backup phones during California Independent System Operator (Cal-ISO) Stage 2 interruption requests.  If you have an automatic trip or load-shedding device activated by the RTU and do not want to reduce this electrical usage, you should disengage this activation feature by switching the RTU to “bypass” or modify your control circuitry.  If you need access to your RTU to do so, please contact SCE’s Maintenance Department at (626) 308-6358.</w:t>
      </w:r>
    </w:p>
    <w:p>
      <w:pPr>
        <w:pStyle w:val="Normal"/>
        <w:widowControl/>
        <w:ind w:start="720" w:end="0"/>
        <w:rPr>
          <w:color w:val="000000"/>
        </w:rPr>
      </w:pPr>
      <w:r>
        <w:rPr>
          <w:color w:val="000000"/>
        </w:rPr>
      </w:r>
    </w:p>
    <w:p>
      <w:pPr>
        <w:pStyle w:val="Heading2"/>
        <w:widowControl/>
        <w:ind w:hanging="0" w:start="0"/>
        <w:rPr>
          <w:u w:val="none"/>
        </w:rPr>
      </w:pPr>
      <w:r>
        <w:rPr>
          <w:u w:val="none"/>
        </w:rPr>
        <w:t>Penalties or Excess Energy Charges</w:t>
      </w:r>
    </w:p>
    <w:p>
      <w:pPr>
        <w:pStyle w:val="Normal"/>
        <w:widowControl/>
        <w:rPr>
          <w:color w:val="000000"/>
          <w:u w:val="none"/>
        </w:rPr>
      </w:pPr>
      <w:r>
        <w:rPr>
          <w:color w:val="000000"/>
          <w:u w:val="none"/>
        </w:rPr>
      </w:r>
    </w:p>
    <w:p>
      <w:pPr>
        <w:pStyle w:val="Normal"/>
        <w:widowControl/>
        <w:numPr>
          <w:ilvl w:val="0"/>
          <w:numId w:val="5"/>
        </w:numPr>
        <w:tabs>
          <w:tab w:val="clear" w:pos="720"/>
          <w:tab w:val="left" w:pos="0" w:leader="none"/>
        </w:tabs>
        <w:ind w:hanging="360" w:start="720" w:end="0"/>
        <w:rPr>
          <w:color w:val="000000"/>
        </w:rPr>
      </w:pPr>
      <w:r>
        <w:rPr>
          <w:color w:val="000000"/>
        </w:rPr>
        <w:t>Excess Energy Charges are suspended for interruption events beginning January 26, 2001and going forward.  Therefore, Excess Energy Charges will NOT be assessed for failure to comply with interruption events that occurred on January 26, 2001, or thereafter.</w:t>
      </w:r>
    </w:p>
    <w:p>
      <w:pPr>
        <w:pStyle w:val="Normal"/>
        <w:widowControl/>
        <w:rPr>
          <w:color w:val="000000"/>
        </w:rPr>
      </w:pPr>
      <w:r>
        <w:rPr>
          <w:color w:val="000000"/>
        </w:rPr>
      </w:r>
    </w:p>
    <w:p>
      <w:pPr>
        <w:pStyle w:val="Normal"/>
        <w:widowControl/>
        <w:numPr>
          <w:ilvl w:val="0"/>
          <w:numId w:val="6"/>
        </w:numPr>
        <w:tabs>
          <w:tab w:val="clear" w:pos="720"/>
          <w:tab w:val="left" w:pos="0" w:leader="none"/>
        </w:tabs>
        <w:ind w:hanging="360" w:start="720" w:end="0"/>
        <w:rPr/>
      </w:pPr>
      <w:r>
        <w:rPr>
          <w:color w:val="000000"/>
        </w:rPr>
        <w:t>Excess Energy Charges incurred for failure to comply with interruption events that occurred from October 1, 2000 through January 25, 2001, and that have not yet been billed to the customer, will NOT be billed to the customer at this time, but instead will be tracked by SCE in a specially designated memorandum account</w:t>
      </w:r>
      <w:r>
        <w:rPr>
          <w:b/>
          <w:bCs/>
          <w:color w:val="000000"/>
        </w:rPr>
        <w:t xml:space="preserve">.   </w:t>
      </w:r>
      <w:r>
        <w:rPr>
          <w:color w:val="000000"/>
        </w:rPr>
        <w:t xml:space="preserve">However, the CPUC Decision does NOT relieve customers of their liability for those Excess Energy Charges.  </w:t>
      </w:r>
    </w:p>
    <w:p>
      <w:pPr>
        <w:pStyle w:val="Normal"/>
        <w:widowControl/>
        <w:rPr>
          <w:color w:val="000000"/>
        </w:rPr>
      </w:pPr>
      <w:r>
        <w:rPr>
          <w:color w:val="000000"/>
        </w:rPr>
      </w:r>
    </w:p>
    <w:p>
      <w:pPr>
        <w:pStyle w:val="Heading3"/>
        <w:widowControl/>
        <w:ind w:hanging="0" w:start="0"/>
        <w:rPr/>
      </w:pPr>
      <w:r>
        <w:rPr/>
        <w:t>Tolling of Interruption Events and Total Hours</w:t>
      </w:r>
    </w:p>
    <w:p>
      <w:pPr>
        <w:pStyle w:val="Normal"/>
        <w:rPr/>
      </w:pPr>
      <w:r>
        <w:rPr/>
      </w:r>
    </w:p>
    <w:p>
      <w:pPr>
        <w:pStyle w:val="Normal"/>
        <w:numPr>
          <w:ilvl w:val="0"/>
          <w:numId w:val="7"/>
        </w:numPr>
        <w:tabs>
          <w:tab w:val="clear" w:pos="720"/>
          <w:tab w:val="left" w:pos="0" w:leader="none"/>
        </w:tabs>
        <w:ind w:hanging="0" w:start="360" w:end="0"/>
        <w:rPr/>
      </w:pPr>
      <w:r>
        <w:rPr/>
        <w:t>Effective January 26, 2001, the tolling of the number of interruption events and the number of total hours of interruption events towards interruptible program limits, per calendar year, is suspended.</w:t>
      </w:r>
    </w:p>
    <w:p>
      <w:pPr>
        <w:pStyle w:val="Normal"/>
        <w:ind w:hanging="360" w:start="360" w:end="0"/>
        <w:rPr/>
      </w:pPr>
      <w:r>
        <w:rPr/>
      </w:r>
    </w:p>
    <w:p>
      <w:pPr>
        <w:pStyle w:val="Normal"/>
        <w:widowControl/>
        <w:jc w:val="end"/>
        <w:rPr>
          <w:color w:val="000000"/>
        </w:rPr>
      </w:pPr>
      <w:r>
        <w:rPr>
          <w:color w:val="000000"/>
        </w:rPr>
        <w:t>. . . Continued . . .</w:t>
      </w:r>
    </w:p>
    <w:p>
      <w:pPr>
        <w:pStyle w:val="Normal"/>
        <w:widowControl/>
        <w:jc w:val="end"/>
        <w:rPr>
          <w:color w:val="000000"/>
        </w:rPr>
      </w:pPr>
      <w:r>
        <w:rPr>
          <w:color w:val="000000"/>
        </w:rPr>
      </w:r>
    </w:p>
    <w:p>
      <w:pPr>
        <w:pStyle w:val="Normal"/>
        <w:widowControl/>
        <w:jc w:val="end"/>
        <w:rPr>
          <w:color w:val="000000"/>
        </w:rPr>
      </w:pPr>
      <w:r>
        <w:rPr>
          <w:color w:val="000000"/>
        </w:rPr>
      </w:r>
    </w:p>
    <w:p>
      <w:pPr>
        <w:pStyle w:val="Normal"/>
        <w:widowControl/>
        <w:rPr>
          <w:b/>
          <w:bCs/>
          <w:color w:val="000000"/>
        </w:rPr>
      </w:pPr>
      <w:r>
        <w:rPr>
          <w:b/>
          <w:bCs/>
          <w:color w:val="000000"/>
        </w:rPr>
        <w:t>CPUC Recent Changes to the Interruptible Program</w:t>
      </w:r>
    </w:p>
    <w:p>
      <w:pPr>
        <w:pStyle w:val="Normal"/>
        <w:widowControl/>
        <w:rPr>
          <w:b/>
          <w:bCs/>
          <w:color w:val="000000"/>
        </w:rPr>
      </w:pPr>
      <w:r>
        <w:rPr>
          <w:b/>
          <w:bCs/>
          <w:color w:val="000000"/>
        </w:rPr>
        <w:t>(Insert Date)</w:t>
      </w:r>
    </w:p>
    <w:p>
      <w:pPr>
        <w:pStyle w:val="Normal"/>
        <w:widowControl/>
        <w:rPr>
          <w:b/>
          <w:bCs/>
          <w:color w:val="000000"/>
        </w:rPr>
      </w:pPr>
      <w:r>
        <w:rPr>
          <w:b/>
          <w:bCs/>
          <w:color w:val="000000"/>
        </w:rPr>
        <w:t>Page 2</w:t>
      </w:r>
    </w:p>
    <w:p>
      <w:pPr>
        <w:pStyle w:val="Normal"/>
        <w:widowControl/>
        <w:rPr>
          <w:b/>
          <w:bCs/>
          <w:color w:val="000000"/>
        </w:rPr>
      </w:pPr>
      <w:r>
        <w:rPr>
          <w:b/>
          <w:bCs/>
          <w:color w:val="000000"/>
        </w:rPr>
      </w:r>
    </w:p>
    <w:p>
      <w:pPr>
        <w:pStyle w:val="Normal"/>
        <w:widowControl/>
        <w:rPr>
          <w:color w:val="000000"/>
        </w:rPr>
      </w:pPr>
      <w:r>
        <w:rPr>
          <w:color w:val="000000"/>
        </w:rPr>
      </w:r>
    </w:p>
    <w:p>
      <w:pPr>
        <w:pStyle w:val="Normal"/>
        <w:widowControl/>
        <w:rPr>
          <w:color w:val="000000"/>
        </w:rPr>
      </w:pPr>
      <w:r>
        <w:rPr>
          <w:color w:val="000000"/>
        </w:rPr>
      </w:r>
    </w:p>
    <w:p>
      <w:pPr>
        <w:pStyle w:val="Normal"/>
        <w:widowControl/>
        <w:rPr>
          <w:color w:val="000000"/>
        </w:rPr>
      </w:pPr>
      <w:r>
        <w:rPr>
          <w:color w:val="000000"/>
        </w:rPr>
      </w:r>
    </w:p>
    <w:p>
      <w:pPr>
        <w:pStyle w:val="Normal"/>
        <w:widowControl/>
        <w:rPr>
          <w:color w:val="000000"/>
        </w:rPr>
      </w:pPr>
      <w:r>
        <w:rPr>
          <w:color w:val="000000"/>
        </w:rPr>
      </w:r>
    </w:p>
    <w:p>
      <w:pPr>
        <w:pStyle w:val="Heading3"/>
        <w:widowControl/>
        <w:ind w:hanging="0" w:start="0"/>
        <w:rPr/>
      </w:pPr>
      <w:r>
        <w:rPr/>
        <w:t>SCE Billing</w:t>
      </w:r>
    </w:p>
    <w:p>
      <w:pPr>
        <w:pStyle w:val="Normal"/>
        <w:rPr/>
      </w:pPr>
      <w:r>
        <w:rPr/>
      </w:r>
    </w:p>
    <w:p>
      <w:pPr>
        <w:pStyle w:val="Normal"/>
        <w:numPr>
          <w:ilvl w:val="0"/>
          <w:numId w:val="8"/>
        </w:numPr>
        <w:tabs>
          <w:tab w:val="clear" w:pos="720"/>
          <w:tab w:val="left" w:pos="0" w:leader="none"/>
        </w:tabs>
        <w:ind w:hanging="0" w:start="360" w:end="0"/>
        <w:rPr/>
      </w:pPr>
      <w:r>
        <w:rPr/>
        <w:t xml:space="preserve">If you have already received a bill from SCE that includes Excess Energy Charges incurred for interruption events from October 1, 2000 through January 25, 2001, we are recommending that you pay that bill because it is unknown at this time what final outcome will be determined by a future CPUC Decision.  </w:t>
      </w:r>
    </w:p>
    <w:p>
      <w:pPr>
        <w:pStyle w:val="Normal"/>
        <w:rPr/>
      </w:pPr>
      <w:r>
        <w:rPr/>
      </w:r>
    </w:p>
    <w:p>
      <w:pPr>
        <w:pStyle w:val="Normal"/>
        <w:numPr>
          <w:ilvl w:val="0"/>
          <w:numId w:val="9"/>
        </w:numPr>
        <w:tabs>
          <w:tab w:val="clear" w:pos="720"/>
          <w:tab w:val="left" w:pos="0" w:leader="none"/>
        </w:tabs>
        <w:ind w:hanging="0" w:start="360" w:end="0"/>
        <w:rPr/>
      </w:pPr>
      <w:r>
        <w:rPr/>
        <w:t>Until the CPUC resolves the issue of Excess Energy Charges, SCE has informed the CPUC that, starting January 26, 2001, any billing statements prepared by SCE that would otherwise include Excess Energy Charges for interruption events between October 1, 2000 and January 25, 2001 will NOT be assessed Late Payment charges associated with Excess Energy Charges.  However, the amount of the Excess Energy Charges will be calculated and placed in a specially designated memorandum account.</w:t>
      </w:r>
    </w:p>
    <w:p>
      <w:pPr>
        <w:pStyle w:val="Normal"/>
        <w:widowControl/>
        <w:ind w:hanging="360" w:start="360" w:end="0"/>
        <w:rPr>
          <w:color w:val="000000"/>
        </w:rPr>
      </w:pPr>
      <w:r>
        <w:rPr>
          <w:color w:val="000000"/>
        </w:rPr>
      </w:r>
    </w:p>
    <w:p>
      <w:pPr>
        <w:pStyle w:val="Normal"/>
        <w:numPr>
          <w:ilvl w:val="0"/>
          <w:numId w:val="10"/>
        </w:numPr>
        <w:tabs>
          <w:tab w:val="clear" w:pos="720"/>
          <w:tab w:val="left" w:pos="0" w:leader="none"/>
        </w:tabs>
        <w:ind w:hanging="360" w:start="720" w:end="0"/>
        <w:rPr/>
      </w:pPr>
      <w:r>
        <w:rPr/>
        <w:t>Bills issued which reflect interruption events on or after January 26, 2001 will NOT include Excess Energy Charges associated with failure to comply with interruption events.</w:t>
      </w:r>
    </w:p>
    <w:p>
      <w:pPr>
        <w:pStyle w:val="Normal"/>
        <w:widowControl/>
        <w:rPr>
          <w:color w:val="000000"/>
        </w:rPr>
      </w:pPr>
      <w:r>
        <w:rPr>
          <w:color w:val="000000"/>
        </w:rPr>
      </w:r>
    </w:p>
    <w:p>
      <w:pPr>
        <w:pStyle w:val="Normal"/>
        <w:rPr/>
      </w:pPr>
      <w:r>
        <w:rPr/>
        <w:t>To ensure speedy and prompt handling of customer questions and/or complaints, please contact your SCE Account Executive/Account Manager.</w:t>
      </w:r>
    </w:p>
    <w:p>
      <w:pPr>
        <w:pStyle w:val="Normal"/>
        <w:rPr/>
      </w:pPr>
      <w:r>
        <w:rPr/>
      </w:r>
    </w:p>
    <w:p>
      <w:pPr>
        <w:pStyle w:val="Normal"/>
        <w:ind w:hanging="360" w:start="360" w:end="0"/>
        <w:rPr/>
      </w:pPr>
      <w:r>
        <w:rPr/>
        <w:t>A full copy of the Decision No. 01-01-056 is available on the CPUC Web site at: http://www.cpuc.ca.gov/PUBLISHED/FINAL_DECISION/4784.htm</w:t>
        <w:tab/>
      </w:r>
    </w:p>
    <w:p>
      <w:pPr>
        <w:pStyle w:val="Normal"/>
        <w:widowControl/>
        <w:rPr>
          <w:color w:val="000000"/>
        </w:rPr>
      </w:pPr>
      <w:r>
        <w:rPr>
          <w:color w:val="000000"/>
        </w:rPr>
      </w:r>
    </w:p>
    <w:p>
      <w:pPr>
        <w:pStyle w:val="Normal"/>
        <w:widowControl/>
        <w:rPr>
          <w:color w:val="000000"/>
        </w:rPr>
      </w:pPr>
      <w:r>
        <w:rPr>
          <w:color w:val="000000"/>
        </w:rPr>
        <w:t xml:space="preserve">The CPUC and SCE strongly encourage all customers to reduce electrical use during Stage 2 emergencies.  If it is impossible for the Cal-ISO to achieve the necessary power reductions via voluntary electric reduction program efforts, the Cal-ISO may have to implement a Stage 3 emergency firm load reduction.  Any loss of interruptible program electrical power reduction commitments creates a higher likelihood of escalation to a Stage 3.   </w:t>
      </w:r>
    </w:p>
    <w:p>
      <w:pPr>
        <w:pStyle w:val="Normal"/>
        <w:widowControl/>
        <w:rPr>
          <w:color w:val="000000"/>
        </w:rPr>
      </w:pPr>
      <w:r>
        <w:rPr>
          <w:color w:val="000000"/>
        </w:rPr>
      </w:r>
    </w:p>
    <w:p>
      <w:pPr>
        <w:pStyle w:val="Normal"/>
        <w:widowControl/>
        <w:rPr>
          <w:color w:val="000000"/>
        </w:rPr>
      </w:pPr>
      <w:r>
        <w:rPr>
          <w:color w:val="000000"/>
        </w:rPr>
        <w:t>We appreciate your continued attention and efforts in conserving energy.</w:t>
      </w:r>
    </w:p>
    <w:p>
      <w:pPr>
        <w:pStyle w:val="Normal"/>
        <w:widowControl/>
        <w:rPr>
          <w:color w:val="000000"/>
        </w:rPr>
      </w:pPr>
      <w:r>
        <w:rPr>
          <w:color w:val="000000"/>
        </w:rPr>
      </w:r>
    </w:p>
    <w:p>
      <w:pPr>
        <w:pStyle w:val="Normal"/>
        <w:widowControl/>
        <w:rPr>
          <w:color w:val="000000"/>
        </w:rPr>
      </w:pPr>
      <w:r>
        <w:rPr>
          <w:color w:val="000000"/>
        </w:rPr>
        <w:t>Sincerely,</w:t>
      </w:r>
    </w:p>
    <w:p>
      <w:pPr>
        <w:pStyle w:val="Normal"/>
        <w:widowControl/>
        <w:rPr>
          <w:color w:val="000000"/>
        </w:rPr>
      </w:pPr>
      <w:r>
        <w:rPr>
          <w:color w:val="000000"/>
        </w:rPr>
      </w:r>
    </w:p>
    <w:p>
      <w:pPr>
        <w:pStyle w:val="Normal"/>
        <w:widowControl/>
        <w:rPr>
          <w:color w:val="000000"/>
        </w:rPr>
      </w:pPr>
      <w:r>
        <w:rPr>
          <w:color w:val="000000"/>
        </w:rPr>
      </w:r>
    </w:p>
    <w:p>
      <w:pPr>
        <w:pStyle w:val="Normal"/>
        <w:widowControl/>
        <w:rPr>
          <w:color w:val="000000"/>
        </w:rPr>
      </w:pPr>
      <w:r>
        <w:rPr>
          <w:color w:val="000000"/>
        </w:rPr>
      </w:r>
    </w:p>
    <w:p>
      <w:pPr>
        <w:pStyle w:val="Normal"/>
        <w:widowControl/>
        <w:rPr>
          <w:color w:val="000000"/>
        </w:rPr>
      </w:pPr>
      <w:r>
        <w:rPr>
          <w:color w:val="000000"/>
        </w:rPr>
        <w:t>(Insert Segment Director Name)</w:t>
      </w:r>
    </w:p>
    <w:p>
      <w:pPr>
        <w:pStyle w:val="Normal"/>
        <w:widowControl/>
        <w:rPr>
          <w:color w:val="000000"/>
        </w:rPr>
      </w:pPr>
      <w:r>
        <w:rPr>
          <w:color w:val="000000"/>
        </w:rPr>
        <w:t>Southern California Edison</w:t>
      </w:r>
    </w:p>
    <w:p>
      <w:pPr>
        <w:pStyle w:val="Normal"/>
        <w:widowControl/>
        <w:rPr>
          <w:color w:val="000000"/>
        </w:rPr>
      </w:pPr>
      <w:r>
        <w:rPr>
          <w:color w:val="000000"/>
        </w:rPr>
      </w:r>
    </w:p>
    <w:p>
      <w:pPr>
        <w:pStyle w:val="Normal"/>
        <w:widowControl/>
        <w:rPr>
          <w:color w:val="000000"/>
        </w:rPr>
      </w:pPr>
      <w:r>
        <w:rPr>
          <w:color w:val="000000"/>
        </w:rPr>
      </w:r>
    </w:p>
    <w:p>
      <w:pPr>
        <w:pStyle w:val="Normal"/>
        <w:widowControl/>
        <w:rPr>
          <w:color w:val="000000"/>
        </w:rPr>
      </w:pPr>
      <w:r>
        <w:rPr>
          <w:color w:val="000000"/>
        </w:rPr>
      </w:r>
    </w:p>
    <w:p>
      <w:pPr>
        <w:pStyle w:val="Normal"/>
        <w:widowControl/>
        <w:rPr>
          <w:color w:val="000000"/>
        </w:rPr>
      </w:pPr>
      <w:r>
        <w:rPr>
          <w:color w:val="000000"/>
        </w:rPr>
      </w:r>
    </w:p>
    <w:p>
      <w:pPr>
        <w:pStyle w:val="Normal"/>
        <w:widowControl/>
        <w:rPr>
          <w:color w:val="000000"/>
        </w:rPr>
      </w:pPr>
      <w:r>
        <w:rPr>
          <w:color w:val="000000"/>
        </w:rPr>
      </w:r>
    </w:p>
    <w:p>
      <w:pPr>
        <w:pStyle w:val="Normal"/>
        <w:widowControl/>
        <w:rPr>
          <w:color w:val="000000"/>
        </w:rPr>
      </w:pPr>
      <w:r>
        <w:rPr>
          <w:color w:val="000000"/>
        </w:rPr>
      </w:r>
    </w:p>
    <w:p>
      <w:pPr>
        <w:pStyle w:val="Normal"/>
        <w:widowControl/>
        <w:rPr>
          <w:color w:val="000000"/>
        </w:rPr>
      </w:pPr>
      <w:r>
        <w:rPr>
          <w:color w:val="000000"/>
        </w:rPr>
      </w:r>
    </w:p>
    <w:p>
      <w:pPr>
        <w:pStyle w:val="Normal"/>
        <w:widowControl/>
        <w:rPr>
          <w:color w:val="000000"/>
        </w:rPr>
      </w:pPr>
      <w:r>
        <w:rPr>
          <w:color w:val="000000"/>
        </w:rPr>
      </w:r>
    </w:p>
    <w:p>
      <w:pPr>
        <w:pStyle w:val="Normal"/>
        <w:widowControl/>
        <w:rPr>
          <w:color w:val="000000"/>
        </w:rPr>
      </w:pPr>
      <w:r>
        <w:rPr>
          <w:color w:val="000000"/>
        </w:rPr>
      </w:r>
    </w:p>
    <w:p>
      <w:pPr>
        <w:pStyle w:val="Normal"/>
        <w:widowControl/>
        <w:rPr>
          <w:color w:val="000000"/>
        </w:rPr>
      </w:pPr>
      <w:r>
        <w:rPr>
          <w:color w:val="000000"/>
        </w:rPr>
      </w:r>
    </w:p>
    <w:p>
      <w:pPr>
        <w:pStyle w:val="Normal"/>
        <w:widowControl/>
        <w:rPr>
          <w:color w:val="000000"/>
        </w:rPr>
      </w:pPr>
      <w:r>
        <w:rPr>
          <w:color w:val="000000"/>
        </w:rPr>
      </w:r>
    </w:p>
    <w:p>
      <w:pPr>
        <w:pStyle w:val="Normal"/>
        <w:widowControl/>
        <w:rPr>
          <w:color w:val="000000"/>
        </w:rPr>
      </w:pPr>
      <w:r>
        <w:rPr>
          <w:color w:val="000000"/>
        </w:rPr>
      </w:r>
    </w:p>
    <w:sectPr>
      <w:type w:val="nextPage"/>
      <w:pgSz w:w="12240" w:h="15840"/>
      <w:pgMar w:left="1440" w:right="1440" w:gutter="0" w:header="0" w:top="720" w:footer="0" w:bottom="72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Symbol">
    <w:charset w:val="0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0"/>
        </w:tabs>
        <w:ind w:start="0" w:hanging="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numFmt w:val="bullet"/>
      <w:lvlText w:val="·"/>
      <w:lvlJc w:val="start"/>
      <w:pPr>
        <w:tabs>
          <w:tab w:val="num" w:pos="0"/>
        </w:tabs>
        <w:ind w:start="0" w:hanging="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numFmt w:val="bullet"/>
      <w:lvlText w:val="·"/>
      <w:lvlJc w:val="start"/>
      <w:pPr>
        <w:tabs>
          <w:tab w:val="num" w:pos="0"/>
        </w:tabs>
        <w:ind w:start="0" w:hanging="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numFmt w:val="bullet"/>
      <w:lvlText w:val="·"/>
      <w:lvlJc w:val="start"/>
      <w:pPr>
        <w:tabs>
          <w:tab w:val="num" w:pos="0"/>
        </w:tabs>
        <w:ind w:start="0" w:hanging="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numFmt w:val="bullet"/>
      <w:lvlText w:val="·"/>
      <w:lvlJc w:val="start"/>
      <w:pPr>
        <w:tabs>
          <w:tab w:val="num" w:pos="0"/>
        </w:tabs>
        <w:ind w:start="0" w:hanging="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color w:val="000000"/>
      <w:u w:val="single"/>
    </w:rPr>
  </w:style>
  <w:style w:type="paragraph" w:styleId="Heading3">
    <w:name w:val="heading 3"/>
    <w:basedOn w:val="Normal"/>
    <w:next w:val="Normal"/>
    <w:qFormat/>
    <w:pPr>
      <w:keepNext w:val="true"/>
      <w:numPr>
        <w:ilvl w:val="2"/>
        <w:numId w:val="1"/>
      </w:numPr>
      <w:outlineLvl w:val="2"/>
    </w:pPr>
    <w:rPr>
      <w:b/>
      <w:bCs/>
      <w:color w:val="00000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image" Target="media/image1.e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2001-02-09T22:11:00Z</dcterms:created>
  <dc:creator>Mike Schaible</dc:creator>
  <dc:description/>
  <dc:language>en-CA</dc:language>
  <cp:lastModifiedBy>Mike Schaible</cp:lastModifiedBy>
  <cp:lastPrinted>2001-02-08T16:58:00Z</cp:lastPrinted>
  <dcterms:modified xsi:type="dcterms:W3CDTF">2001-02-09T22:11:00Z</dcterms:modified>
  <cp:revision>2</cp:revision>
  <dc:subject/>
  <dc:title> </dc:title>
</cp:coreProperties>
</file>