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 xml:space="preserve">Transmission Business Line </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4"/>
        </w:rPr>
      </w:pPr>
      <w:r>
        <w:rPr>
          <w:rFonts w:cs="Century Schoolbook" w:ascii="Century Schoolbook" w:hAnsi="Century Schoolbook"/>
          <w:sz w:val="24"/>
        </w:rPr>
        <w:t>FY 2002-2003 Rate Period</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Comment Solicitation on Business Practice</w:t>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Implementing the 2002 Rate Case Settlement</w:t>
      </w:r>
    </w:p>
    <w:p>
      <w:pPr>
        <w:pStyle w:val="Normal"/>
        <w:jc w:val="center"/>
        <w:rPr>
          <w:b/>
        </w:rPr>
      </w:pPr>
      <w:r>
        <w:rPr>
          <w:b/>
        </w:rPr>
        <w:t>Effective October 1, 2001</w:t>
      </w:r>
    </w:p>
    <w:p>
      <w:pPr>
        <w:pStyle w:val="Normal"/>
        <w:jc w:val="center"/>
        <w:rPr>
          <w:b/>
        </w:rPr>
      </w:pPr>
      <w:r>
        <w:rPr>
          <w:b/>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Section VI</w:t>
      </w:r>
    </w:p>
    <w:p>
      <w:pPr>
        <w:pStyle w:val="Normal"/>
        <w:jc w:val="center"/>
        <w:rPr>
          <w:b/>
        </w:rPr>
      </w:pPr>
      <w:r>
        <w:rPr>
          <w:b/>
        </w:rPr>
        <w:t>Available Transfer Capability Methodology</w:t>
      </w:r>
    </w:p>
    <w:p>
      <w:pPr>
        <w:pStyle w:val="Heading1"/>
        <w:numPr>
          <w:ilvl w:val="0"/>
          <w:numId w:val="0"/>
        </w:numPr>
        <w:spacing w:lineRule="auto" w:line="240"/>
        <w:ind w:hanging="0" w:start="0"/>
        <w:jc w:val="center"/>
        <w:rPr>
          <w:rFonts w:ascii="Century Schoolbook" w:hAnsi="Century Schoolbook" w:cs="Century Schoolbook"/>
          <w:b w:val="false"/>
        </w:rPr>
      </w:pPr>
      <w:r>
        <w:rPr>
          <w:rFonts w:cs="Century Schoolbook" w:ascii="Century Schoolbook" w:hAnsi="Century Schoolbook"/>
          <w:b w:val="false"/>
          <w:rPrChange w:id="0" w:author="Unknown Author" w:date="0-00-00T00:00:00Z"/>
        </w:rPr>
        <w:rPrChange w:id="0" w:author="Unknown Author" w:date="0-00-00T00:00:00Z"/>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Posted: February 12, 2001</w:t>
      </w:r>
    </w:p>
    <w:p>
      <w:pPr>
        <w:pStyle w:val="Normal"/>
        <w:jc w:val="center"/>
        <w:rPr>
          <w:rFonts w:ascii="Century Schoolbook" w:hAnsi="Century Schoolbook" w:cs="Century Schoolbook"/>
          <w:b/>
        </w:rPr>
      </w:pPr>
      <w:r>
        <w:rPr>
          <w:rFonts w:cs="Century Schoolbook"/>
          <w:b/>
        </w:rPr>
      </w:r>
    </w:p>
    <w:p>
      <w:pPr>
        <w:pStyle w:val="Normal"/>
        <w:jc w:val="center"/>
        <w:rPr>
          <w:b/>
          <w:sz w:val="28"/>
        </w:rPr>
      </w:pPr>
      <w:r>
        <w:rPr>
          <w:b/>
          <w:sz w:val="28"/>
        </w:rPr>
        <w:t>CHANGE:  Comment period extended to March 2, 2001.</w:t>
      </w:r>
    </w:p>
    <w:p>
      <w:pPr>
        <w:pStyle w:val="Normal"/>
        <w:jc w:val="center"/>
        <w:rPr>
          <w:b/>
          <w:sz w:val="22"/>
        </w:rPr>
      </w:pPr>
      <w:r>
        <w:rPr>
          <w:b/>
          <w:sz w:val="22"/>
        </w:rPr>
      </w:r>
    </w:p>
    <w:p>
      <w:pPr>
        <w:pStyle w:val="Normal"/>
        <w:rPr/>
      </w:pPr>
      <w:r>
        <w:rPr>
          <w:b/>
          <w:sz w:val="22"/>
        </w:rPr>
        <w:t>Please review and comment on Section VI, Available Transfer Capability Methodology Business Practice by close of business February 23, 2001</w:t>
      </w:r>
      <w:r>
        <w:rPr>
          <w:sz w:val="22"/>
        </w:rPr>
        <w:t>.  Please reference the specific section for which you are providing comments.</w:t>
      </w:r>
    </w:p>
    <w:p>
      <w:pPr>
        <w:pStyle w:val="Normal"/>
        <w:rPr>
          <w:sz w:val="22"/>
        </w:rPr>
      </w:pPr>
      <w:r>
        <w:rPr>
          <w:sz w:val="22"/>
        </w:rPr>
      </w:r>
    </w:p>
    <w:p>
      <w:pPr>
        <w:pStyle w:val="Normal"/>
        <w:rPr>
          <w:sz w:val="22"/>
        </w:rPr>
      </w:pPr>
      <w:r>
        <w:rPr>
          <w:sz w:val="22"/>
        </w:rPr>
        <w:t xml:space="preserve">Comments should be submitted by E-mail to:  </w:t>
      </w:r>
    </w:p>
    <w:p>
      <w:pPr>
        <w:pStyle w:val="Normal"/>
        <w:rPr>
          <w:sz w:val="22"/>
        </w:rPr>
      </w:pPr>
      <w:r>
        <w:rPr>
          <w:sz w:val="22"/>
        </w:rPr>
      </w:r>
    </w:p>
    <w:p>
      <w:pPr>
        <w:pStyle w:val="Normal"/>
        <w:rPr>
          <w:sz w:val="22"/>
        </w:rPr>
      </w:pPr>
      <w:hyperlink r:id="rId2">
        <w:r>
          <w:rPr>
            <w:rStyle w:val="Hyperlink"/>
          </w:rPr>
          <w:t>Madalton@bpa.gov</w:t>
        </w:r>
      </w:hyperlink>
    </w:p>
    <w:p>
      <w:pPr>
        <w:pStyle w:val="Normal"/>
        <w:rPr>
          <w:sz w:val="22"/>
        </w:rPr>
      </w:pPr>
      <w:r>
        <w:rPr>
          <w:sz w:val="22"/>
        </w:rPr>
      </w:r>
    </w:p>
    <w:p>
      <w:pPr>
        <w:pStyle w:val="Normal"/>
        <w:rPr>
          <w:sz w:val="22"/>
        </w:rPr>
      </w:pPr>
      <w:r>
        <w:rPr>
          <w:sz w:val="22"/>
        </w:rPr>
        <w:t>AND</w:t>
      </w:r>
    </w:p>
    <w:p>
      <w:pPr>
        <w:pStyle w:val="Normal"/>
        <w:rPr>
          <w:sz w:val="22"/>
        </w:rPr>
      </w:pPr>
      <w:hyperlink r:id="rId3">
        <w:r>
          <w:rPr>
            <w:rStyle w:val="Hyperlink"/>
            <w:sz w:val="22"/>
          </w:rPr>
          <w:t>Jmcneilkeister@bpa.gov</w:t>
        </w:r>
      </w:hyperlink>
    </w:p>
    <w:p>
      <w:pPr>
        <w:pStyle w:val="Normal"/>
        <w:rPr>
          <w:sz w:val="22"/>
        </w:rPr>
      </w:pPr>
      <w:r>
        <w:rPr>
          <w:sz w:val="22"/>
        </w:rPr>
      </w:r>
    </w:p>
    <w:p>
      <w:pPr>
        <w:pStyle w:val="Normal"/>
        <w:rPr>
          <w:sz w:val="22"/>
        </w:rPr>
      </w:pPr>
      <w:r>
        <w:rPr>
          <w:sz w:val="22"/>
        </w:rPr>
        <w:t>All customer comments and BPA's Transmission Business Line's (BPAT) responses to those comments will be posted on BPAT's OASIS website on or about March 16, 2001.</w:t>
      </w:r>
    </w:p>
    <w:p>
      <w:pPr>
        <w:pStyle w:val="Normal"/>
        <w:rPr>
          <w:sz w:val="22"/>
        </w:rPr>
      </w:pPr>
      <w:r>
        <w:rPr>
          <w:sz w:val="22"/>
        </w:rPr>
      </w:r>
      <w:r>
        <w:br w:type="page"/>
      </w:r>
    </w:p>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Transmission Business Line  (BPAT)</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2"/>
        </w:rPr>
      </w:pPr>
      <w:r>
        <w:rPr>
          <w:rFonts w:cs="Century Schoolbook" w:ascii="Century Schoolbook" w:hAnsi="Century Schoolbook"/>
          <w:sz w:val="24"/>
        </w:rPr>
        <w:t>2002-2003 Rate Period</w:t>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4"/>
        </w:rPr>
      </w:pPr>
      <w:r>
        <w:rPr>
          <w:rFonts w:cs="Century Schoolbook" w:ascii="Century Schoolbook" w:hAnsi="Century Schoolbook"/>
          <w:sz w:val="24"/>
        </w:rPr>
        <w:t>Table of Content</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t>SECTION</w:t>
        <w:tab/>
        <w:tab/>
        <w:t xml:space="preserve">Page No. </w:t>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4"/>
        </w:numPr>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t xml:space="preserve">Commonly Used Acronyms </w:t>
      </w:r>
    </w:p>
    <w:p>
      <w:pPr>
        <w:pStyle w:val="Heading"/>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4"/>
        </w:numPr>
        <w:tabs>
          <w:tab w:val="clear" w:pos="720"/>
          <w:tab w:val="left" w:pos="0" w:leader="none"/>
        </w:tabs>
        <w:spacing w:lineRule="auto" w:line="480"/>
        <w:jc w:val="start"/>
        <w:rPr>
          <w:rFonts w:ascii="Century Schoolbook" w:hAnsi="Century Schoolbook" w:cs="Century Schoolbook"/>
          <w:sz w:val="22"/>
        </w:rPr>
      </w:pPr>
      <w:r>
        <w:rPr>
          <w:rFonts w:cs="Century Schoolbook" w:ascii="Century Schoolbook" w:hAnsi="Century Schoolbook"/>
          <w:sz w:val="22"/>
        </w:rPr>
        <w:t xml:space="preserve">Scheduling Procedures </w:t>
      </w:r>
    </w:p>
    <w:p>
      <w:pPr>
        <w:pStyle w:val="Heading"/>
        <w:tabs>
          <w:tab w:val="clear" w:pos="720"/>
          <w:tab w:val="left" w:pos="0" w:leader="none"/>
        </w:tabs>
        <w:ind w:start="720" w:end="0"/>
        <w:jc w:val="start"/>
        <w:rPr>
          <w:rFonts w:ascii="Century Schoolbook" w:hAnsi="Century Schoolbook" w:cs="Century Schoolbook"/>
          <w:sz w:val="22"/>
        </w:rPr>
      </w:pPr>
      <w:r>
        <w:rPr>
          <w:rFonts w:cs="Century Schoolbook" w:ascii="Century Schoolbook" w:hAnsi="Century Schoolbook"/>
          <w:sz w:val="22"/>
        </w:rPr>
        <w:t>A.</w:t>
        <w:tab/>
        <w:t>General Terms</w:t>
      </w:r>
    </w:p>
    <w:p>
      <w:pPr>
        <w:pStyle w:val="Normal"/>
        <w:ind w:firstLine="720" w:end="0"/>
        <w:rPr>
          <w:b/>
          <w:sz w:val="22"/>
        </w:rPr>
      </w:pPr>
      <w:r>
        <w:rPr>
          <w:b/>
          <w:sz w:val="22"/>
        </w:rPr>
        <w:t>B.</w:t>
        <w:tab/>
        <w:t>Specific Transmission Services</w:t>
      </w:r>
    </w:p>
    <w:p>
      <w:pPr>
        <w:pStyle w:val="Normal"/>
        <w:ind w:firstLine="720" w:start="720" w:end="0"/>
        <w:rPr>
          <w:b/>
          <w:sz w:val="22"/>
        </w:rPr>
      </w:pPr>
      <w:r>
        <w:rPr>
          <w:b/>
          <w:sz w:val="22"/>
        </w:rPr>
      </w:r>
    </w:p>
    <w:p>
      <w:pPr>
        <w:pStyle w:val="Normal"/>
        <w:ind w:firstLine="720" w:start="720" w:end="0"/>
        <w:rPr>
          <w:b/>
          <w:sz w:val="22"/>
        </w:rPr>
      </w:pPr>
      <w:r>
        <w:rPr>
          <w:b/>
          <w:sz w:val="22"/>
        </w:rPr>
        <w:t>1.1</w:t>
        <w:tab/>
        <w:t xml:space="preserve">Firm Point-to-Point (PTP) Transmission Service </w:t>
      </w:r>
    </w:p>
    <w:p>
      <w:pPr>
        <w:pStyle w:val="Normal"/>
        <w:numPr>
          <w:ilvl w:val="1"/>
          <w:numId w:val="3"/>
        </w:numPr>
        <w:rPr>
          <w:b/>
          <w:sz w:val="22"/>
        </w:rPr>
      </w:pPr>
      <w:r>
        <w:rPr>
          <w:b/>
          <w:sz w:val="22"/>
        </w:rPr>
        <w:t>Non-Firm Point-to-Point (PTP) Transmission Service</w:t>
      </w:r>
    </w:p>
    <w:p>
      <w:pPr>
        <w:pStyle w:val="Normal"/>
        <w:ind w:firstLine="720" w:start="720" w:end="0"/>
        <w:rPr>
          <w:b/>
          <w:sz w:val="22"/>
        </w:rPr>
      </w:pPr>
      <w:r>
        <w:rPr>
          <w:b/>
          <w:sz w:val="22"/>
        </w:rPr>
        <w:t>1.3</w:t>
        <w:tab/>
        <w:t>Network Integration (NT) Transmission Service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b/>
          <w:sz w:val="22"/>
        </w:rPr>
        <w:tab/>
        <w:t>Table A - Reservation Timing Requirements</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Table B - Priorities for Competing </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                     Reservation Requests</w:t>
      </w:r>
    </w:p>
    <w:p>
      <w:pPr>
        <w:pStyle w:val="Normal"/>
        <w:rPr>
          <w:rFonts w:ascii="Century Schoolbook" w:hAnsi="Century Schoolbook" w:cs="Century Schoolbook"/>
          <w:b/>
          <w:sz w:val="22"/>
        </w:rPr>
      </w:pPr>
      <w:r>
        <w:rPr>
          <w:rFonts w:cs="Century Schoolbook"/>
          <w:b/>
          <w:sz w:val="22"/>
        </w:rPr>
      </w:r>
    </w:p>
    <w:p>
      <w:pPr>
        <w:pStyle w:val="Heading"/>
        <w:numPr>
          <w:ilvl w:val="0"/>
          <w:numId w:val="4"/>
        </w:numPr>
        <w:spacing w:lineRule="auto" w:line="480"/>
        <w:jc w:val="start"/>
        <w:rPr>
          <w:rFonts w:ascii="Century Schoolbook" w:hAnsi="Century Schoolbook" w:cs="Century Schoolbook"/>
          <w:sz w:val="22"/>
        </w:rPr>
      </w:pPr>
      <w:r>
        <w:rPr>
          <w:rFonts w:cs="Century Schoolbook" w:ascii="Century Schoolbook" w:hAnsi="Century Schoolbook"/>
          <w:sz w:val="22"/>
        </w:rPr>
        <w:t>Remote Resources and Remote Loads</w:t>
      </w:r>
    </w:p>
    <w:p>
      <w:pPr>
        <w:pStyle w:val="Heading"/>
        <w:numPr>
          <w:ilvl w:val="0"/>
          <w:numId w:val="4"/>
        </w:numPr>
        <w:spacing w:lineRule="auto" w:line="480"/>
        <w:jc w:val="start"/>
        <w:rPr>
          <w:rFonts w:ascii="Century Schoolbook" w:hAnsi="Century Schoolbook" w:cs="Century Schoolbook"/>
          <w:sz w:val="22"/>
        </w:rPr>
      </w:pPr>
      <w:r>
        <w:rPr>
          <w:rFonts w:cs="Century Schoolbook" w:ascii="Century Schoolbook" w:hAnsi="Century Schoolbook"/>
          <w:sz w:val="22"/>
        </w:rPr>
        <w:t>Sheltering Basics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w:t>
        <w:tab/>
        <w:t>Redispatch and Curtailment Procedures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VI.</w:t>
        <w:tab/>
        <w:t xml:space="preserve">Available Transfer Capability Methodology </w:t>
      </w:r>
    </w:p>
    <w:p>
      <w:pPr>
        <w:pStyle w:val="Heading"/>
        <w:numPr>
          <w:ilvl w:val="0"/>
          <w:numId w:val="2"/>
        </w:numPr>
        <w:jc w:val="start"/>
        <w:rPr>
          <w:rFonts w:ascii="Century Schoolbook" w:hAnsi="Century Schoolbook" w:cs="Century Schoolbook"/>
          <w:sz w:val="22"/>
        </w:rPr>
      </w:pPr>
      <w:r>
        <w:rPr>
          <w:rFonts w:cs="Century Schoolbook" w:ascii="Century Schoolbook" w:hAnsi="Century Schoolbook"/>
          <w:sz w:val="22"/>
        </w:rPr>
        <w:t xml:space="preserve">Customer Load and Resource </w:t>
      </w:r>
      <w:r>
        <w:br w:type="page"/>
      </w:r>
    </w:p>
    <w:p>
      <w:pPr>
        <w:pStyle w:val="Heading1"/>
        <w:numPr>
          <w:ilvl w:val="0"/>
          <w:numId w:val="0"/>
        </w:numPr>
        <w:spacing w:lineRule="auto" w:line="240"/>
        <w:ind w:hanging="0" w:start="0"/>
        <w:jc w:val="center"/>
        <w:rPr/>
      </w:pPr>
      <w:r>
        <w:rPr>
          <w:rFonts w:eastAsia="Century Schoolbook" w:cs="Century Schoolbook" w:ascii="Century Schoolbook" w:hAnsi="Century Schoolbook"/>
          <w:sz w:val="22"/>
          <w:rPrChange w:id="0" w:author="Unknown Author" w:date="0-00-00T00:00:00Z"/>
        </w:rPr>
        <w:t xml:space="preserve"> </w:t>
      </w:r>
      <w:r>
        <w:rPr>
          <w:rFonts w:cs="Century Schoolbook" w:ascii="Century Schoolbook" w:hAnsi="Century Schoolbook"/>
          <w:rPrChange w:id="0" w:author="Unknown Author" w:date="0-00-00T00:00:00Z"/>
        </w:rPr>
        <w:t>SECTION VI</w:t>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Available Transfer Capability (ATC) Methodology</w:t>
        <w:rPrChange w:id="0" w:author="Unknown Author" w:date="1999-10-19T13:07:00Z"/>
      </w:r>
    </w:p>
    <w:p>
      <w:pPr>
        <w:pStyle w:val="Normal"/>
        <w:jc w:val="center"/>
        <w:rPr>
          <w:rFonts w:ascii="Century Schoolbook" w:hAnsi="Century Schoolbook" w:cs="Century Schoolbook"/>
        </w:rPr>
      </w:pPr>
      <w:r>
        <w:rPr>
          <w:rFonts w:cs="Century Schoolbook"/>
        </w:rPr>
      </w:r>
    </w:p>
    <w:p>
      <w:pPr>
        <w:pStyle w:val="Normal"/>
        <w:numPr>
          <w:ilvl w:val="0"/>
          <w:numId w:val="5"/>
        </w:numPr>
        <w:rPr>
          <w:sz w:val="22"/>
        </w:rPr>
      </w:pPr>
      <w:r>
        <w:rPr>
          <w:sz w:val="22"/>
        </w:rPr>
        <w:t xml:space="preserve">BPAT computes ATC in accordance with the methodologies specified by the North America Electric Reliability Council (NERC) and the Western Systems Coordinating Council (WSCC).  The primary standard BPAT relies upon for ATC methodology is the WSCC document “Determination of Available Transfer Capability within the Western Interconnection”.  This document can be found on WSCC’s web site at </w:t>
      </w:r>
      <w:hyperlink r:id="rId4">
        <w:r>
          <w:rPr>
            <w:rStyle w:val="Hyperlink"/>
            <w:sz w:val="22"/>
          </w:rPr>
          <w:t>www.wscc.com/criteria/htm</w:t>
        </w:r>
      </w:hyperlink>
      <w:r>
        <w:rPr>
          <w:sz w:val="22"/>
        </w:rPr>
        <w:t xml:space="preserve">.  </w:t>
      </w:r>
    </w:p>
    <w:p>
      <w:pPr>
        <w:pStyle w:val="Normal"/>
        <w:rPr>
          <w:sz w:val="22"/>
        </w:rPr>
      </w:pPr>
      <w:r>
        <w:rPr>
          <w:sz w:val="22"/>
        </w:rPr>
      </w:r>
    </w:p>
    <w:p>
      <w:pPr>
        <w:pStyle w:val="Normal"/>
        <w:numPr>
          <w:ilvl w:val="0"/>
          <w:numId w:val="5"/>
        </w:numPr>
        <w:rPr>
          <w:sz w:val="22"/>
        </w:rPr>
      </w:pPr>
      <w:r>
        <w:rPr>
          <w:sz w:val="22"/>
        </w:rPr>
        <w:t xml:space="preserve">BPAT computes ATC by first determining the Total Transfer Capability (TTC) for each constrained transmission path based on standard WSCC reliability criteria.  The ATC determination will be based on the status queue of all transmission requests submitted to BPAT.  For path reservation of transactions that involve only one Point of Receipt (POR) and one Point of Delivery (POD), the ATC across the path is deducted one for one based on transmission rights or usage respectively of the path.  For situations that involve multiple PORs and/or multiple PODs, BPAT will provide or have the Transmission Customer forecast the load at the PODs.  BPAT or the Transmission Customer will then estimate the likely resource dispatch at the PORs for each time period for which ATC is being calculated.  BPAT uses a power flow computer model to determine a forecasted usage of the constrained transmission paths based upon these load and resource estimates.  This forecasted usage is then deducted as a committed use from the path’s ATC for that time period.  </w:t>
      </w:r>
    </w:p>
    <w:p>
      <w:pPr>
        <w:pStyle w:val="Normal"/>
        <w:rPr>
          <w:sz w:val="22"/>
        </w:rPr>
      </w:pPr>
      <w:r>
        <w:rPr>
          <w:sz w:val="22"/>
        </w:rPr>
      </w:r>
    </w:p>
    <w:p>
      <w:pPr>
        <w:pStyle w:val="Normal"/>
        <w:ind w:hanging="720" w:start="720" w:end="0"/>
        <w:rPr>
          <w:sz w:val="22"/>
        </w:rPr>
      </w:pPr>
      <w:r>
        <w:rPr>
          <w:sz w:val="22"/>
        </w:rPr>
        <w:t>3.</w:t>
        <w:tab/>
        <w:t xml:space="preserve">If the constrained path is subject to a nomogram, BPAT applies a Transmission Reliability Margin (TRM) to the ATC calculation to determine the firm ATC for sale.  BPAT’s firm ATC offerings are based on conservative assumptions in order to minimize the Transmission Customers’ exposure to Curtailments.  The TRM BPAT applies to the particular path is based on this principle.  The TRM itself is sold as non-firm (including NT non-firm) transmission.  BPAT does not deduct a Capacity Benefit Margin (CBM) for its ATC calculations. </w:t>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7"/>
      <w:numFmt w:val="upperRoman"/>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4">
    <w:lvl w:ilvl="0">
      <w:start w:val="1"/>
      <w:numFmt w:val="upperRoman"/>
      <w:lvlText w:val="%1."/>
      <w:lvlJc w:val="start"/>
      <w:pPr>
        <w:tabs>
          <w:tab w:val="num" w:pos="720"/>
        </w:tabs>
        <w:ind w:start="720" w:hanging="720"/>
      </w:pPr>
      <w:rPr/>
    </w:lvl>
    <w:lvl w:ilvl="1">
      <w:start w:val="1"/>
      <w:isLgl/>
      <w:numFmt w:val="decimal"/>
      <w:lvlText w:val="%1.%2"/>
      <w:lvlJc w:val="start"/>
      <w:pPr>
        <w:tabs>
          <w:tab w:val="num" w:pos="720"/>
        </w:tabs>
        <w:ind w:start="720" w:hanging="720"/>
      </w:pPr>
      <w:rPr/>
    </w:lvl>
    <w:lvl w:ilvl="2">
      <w:start w:val="2"/>
      <w:isLgl/>
      <w:numFmt w:val="decimal"/>
      <w:lvlText w:val="%1.%2.%3"/>
      <w:lvlJc w:val="start"/>
      <w:pPr>
        <w:tabs>
          <w:tab w:val="num" w:pos="720"/>
        </w:tabs>
        <w:ind w:start="720" w:hanging="720"/>
      </w:pPr>
      <w:rPr/>
    </w:lvl>
    <w:lvl w:ilvl="3">
      <w:start w:val="2"/>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rFonts w:ascii="Times New Roman" w:hAnsi="Times New Roman" w:cs="Times New Roman"/>
      <w:b/>
    </w:rPr>
  </w:style>
  <w:style w:type="paragraph" w:styleId="Heading3">
    <w:name w:val="heading 3"/>
    <w:basedOn w:val="Normal"/>
    <w:next w:val="Normal"/>
    <w:qFormat/>
    <w:pPr>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start="0" w:end="0"/>
      <w:jc w:val="center"/>
      <w:outlineLvl w:val="2"/>
    </w:pPr>
    <w:rPr>
      <w:rFonts w:ascii="Times New Roman" w:hAnsi="Times New Roman" w:cs="Times New Roman"/>
      <w:sz w:val="2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dalton@bpa.gov" TargetMode="External"/><Relationship Id="rId3" Type="http://schemas.openxmlformats.org/officeDocument/2006/relationships/hyperlink" Target="mailto:Jmcneilkeister@bpa.gov" TargetMode="External"/><Relationship Id="rId4" Type="http://schemas.openxmlformats.org/officeDocument/2006/relationships/hyperlink" Target="http://www.wscc.com/criteria/ht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2001-02-12T19:28:00Z</dcterms:created>
  <dc:creator>MAD0099</dc:creator>
  <dc:description/>
  <dc:language>en-CA</dc:language>
  <cp:lastModifiedBy>BPA</cp:lastModifiedBy>
  <cp:lastPrinted>2001-02-12T13:58:00Z</cp:lastPrinted>
  <dcterms:modified xsi:type="dcterms:W3CDTF">2001-02-21T14:15:00Z</dcterms:modified>
  <cp:revision>3</cp:revision>
  <dc:subject/>
  <dc:title>Bonneville Power Administration </dc:title>
</cp:coreProperties>
</file>