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32"/>
        </w:rPr>
      </w:pPr>
      <w:r>
        <w:rPr>
          <w:b/>
          <w:sz w:val="32"/>
        </w:rPr>
      </w:r>
    </w:p>
    <w:p>
      <w:pPr>
        <w:pStyle w:val="Normal"/>
        <w:jc w:val="end"/>
        <w:rPr>
          <w:b/>
          <w:sz w:val="32"/>
        </w:rPr>
      </w:pPr>
      <w:r>
        <w:rPr>
          <w:b/>
          <w:sz w:val="32"/>
        </w:rPr>
      </w:r>
    </w:p>
    <w:p>
      <w:pPr>
        <w:pStyle w:val="Normal"/>
        <w:jc w:val="center"/>
        <w:rPr>
          <w:b/>
          <w:sz w:val="44"/>
        </w:rPr>
      </w:pPr>
      <w:r>
        <w:rPr>
          <w:b/>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Heading"/>
        <w:spacing w:lineRule="auto" w:line="240"/>
        <w:rPr>
          <w:sz w:val="44"/>
        </w:rPr>
      </w:pPr>
      <w:r>
        <w:rPr>
          <w:sz w:val="44"/>
        </w:rPr>
        <w:t>YEAR END REPORT</w:t>
      </w:r>
    </w:p>
    <w:p>
      <w:pPr>
        <w:pStyle w:val="Normal"/>
        <w:jc w:val="center"/>
        <w:rPr>
          <w:b/>
          <w:sz w:val="44"/>
        </w:rPr>
      </w:pPr>
      <w:r>
        <w:rPr>
          <w:b/>
          <w:sz w:val="44"/>
        </w:rPr>
      </w:r>
    </w:p>
    <w:p>
      <w:pPr>
        <w:pStyle w:val="Normal"/>
        <w:jc w:val="center"/>
        <w:rPr>
          <w:b/>
          <w:sz w:val="44"/>
        </w:rPr>
      </w:pPr>
      <w:r>
        <w:rPr>
          <w:b/>
          <w:sz w:val="44"/>
        </w:rPr>
        <w:t>ENRON CORP</w:t>
      </w:r>
    </w:p>
    <w:p>
      <w:pPr>
        <w:pStyle w:val="Normal"/>
        <w:jc w:val="center"/>
        <w:rPr>
          <w:b/>
          <w:sz w:val="44"/>
        </w:rPr>
      </w:pPr>
      <w:r>
        <w:rPr>
          <w:b/>
          <w:sz w:val="44"/>
        </w:rPr>
        <w:t>FEDERAL GOVERNMENT AFFAIRS</w:t>
      </w:r>
    </w:p>
    <w:p>
      <w:pPr>
        <w:pStyle w:val="Normal"/>
        <w:jc w:val="center"/>
        <w:rPr>
          <w:b/>
          <w:sz w:val="44"/>
        </w:rPr>
      </w:pPr>
      <w:r>
        <w:rPr>
          <w:b/>
          <w:sz w:val="44"/>
        </w:rPr>
        <w:t>WASHINGTON, DC</w:t>
      </w:r>
    </w:p>
    <w:p>
      <w:pPr>
        <w:pStyle w:val="Normal"/>
        <w:jc w:val="center"/>
        <w:rPr>
          <w:b/>
          <w:sz w:val="44"/>
        </w:rPr>
      </w:pPr>
      <w:r>
        <w:rPr>
          <w:b/>
          <w:sz w:val="44"/>
        </w:rPr>
        <w:t>December 6, 1999</w:t>
      </w:r>
    </w:p>
    <w:p>
      <w:pPr>
        <w:pStyle w:val="Normal"/>
        <w:rPr>
          <w:b/>
          <w:sz w:val="44"/>
        </w:rPr>
      </w:pPr>
      <w:r>
        <w:rPr>
          <w:b/>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b/>
          <w:sz w:val="24"/>
          <w:u w:val="single"/>
        </w:rPr>
        <w:t>Submitted to:</w:t>
      </w:r>
    </w:p>
    <w:p>
      <w:pPr>
        <w:pStyle w:val="Normal"/>
        <w:rPr>
          <w:b/>
          <w:i/>
          <w:i/>
          <w:sz w:val="24"/>
        </w:rPr>
      </w:pPr>
      <w:r>
        <w:rPr>
          <w:b/>
          <w:i/>
          <w:sz w:val="24"/>
        </w:rPr>
        <w:t>Steve Kean</w:t>
      </w:r>
    </w:p>
    <w:p>
      <w:pPr>
        <w:pStyle w:val="Normal"/>
        <w:rPr>
          <w:b/>
          <w:i/>
          <w:i/>
          <w:sz w:val="24"/>
        </w:rPr>
      </w:pPr>
      <w:r>
        <w:rPr>
          <w:b/>
          <w:i/>
          <w:sz w:val="24"/>
        </w:rPr>
        <w:t>Executive Vice President</w:t>
      </w:r>
    </w:p>
    <w:p>
      <w:pPr>
        <w:pStyle w:val="Normal"/>
        <w:rPr>
          <w:b/>
          <w:i/>
          <w:i/>
          <w:sz w:val="24"/>
        </w:rPr>
      </w:pPr>
      <w:r>
        <w:rPr>
          <w:b/>
          <w:i/>
          <w:sz w:val="24"/>
        </w:rPr>
        <w:t>Public Affairs</w:t>
      </w:r>
    </w:p>
    <w:p>
      <w:pPr>
        <w:pStyle w:val="Normal"/>
        <w:rPr>
          <w:b/>
          <w:i/>
          <w:i/>
          <w:sz w:val="24"/>
        </w:rPr>
      </w:pPr>
      <w:r>
        <w:rPr>
          <w:b/>
          <w:i/>
          <w:sz w:val="24"/>
        </w:rPr>
        <w:t>Enron Corp.</w:t>
      </w:r>
    </w:p>
    <w:p>
      <w:pPr>
        <w:pStyle w:val="Normal"/>
        <w:rPr>
          <w:b/>
          <w:i/>
          <w:i/>
          <w:sz w:val="32"/>
        </w:rPr>
      </w:pPr>
      <w:r>
        <w:rPr>
          <w:b/>
          <w:i/>
          <w:sz w:val="32"/>
        </w:rPr>
      </w:r>
      <w:r>
        <w:br w:type="page"/>
      </w:r>
    </w:p>
    <w:p>
      <w:pPr>
        <w:pStyle w:val="Heading"/>
        <w:spacing w:lineRule="auto" w:line="240"/>
        <w:rPr>
          <w:b/>
          <w:sz w:val="32"/>
        </w:rPr>
      </w:pPr>
      <w:r>
        <w:rPr>
          <w:b/>
          <w:sz w:val="32"/>
        </w:rPr>
      </w:r>
    </w:p>
    <w:p>
      <w:pPr>
        <w:pStyle w:val="Heading"/>
        <w:spacing w:lineRule="auto" w:line="240"/>
        <w:rPr/>
      </w:pPr>
      <w:r>
        <w:rPr/>
        <w:t>TABLE OF CONTENTS</w:t>
      </w:r>
    </w:p>
    <w:p>
      <w:pPr>
        <w:pStyle w:val="Heading"/>
        <w:spacing w:lineRule="auto" w:line="240"/>
        <w:rPr/>
      </w:pPr>
      <w:r>
        <w:rPr/>
      </w:r>
    </w:p>
    <w:p>
      <w:pPr>
        <w:pStyle w:val="Heading"/>
        <w:numPr>
          <w:ilvl w:val="0"/>
          <w:numId w:val="45"/>
        </w:numPr>
        <w:spacing w:lineRule="auto" w:line="240"/>
        <w:jc w:val="start"/>
        <w:rPr/>
      </w:pPr>
      <w:r>
        <w:rPr/>
        <w:t>Organization Chart</w:t>
      </w:r>
    </w:p>
    <w:p>
      <w:pPr>
        <w:pStyle w:val="Heading"/>
        <w:numPr>
          <w:ilvl w:val="0"/>
          <w:numId w:val="45"/>
        </w:numPr>
        <w:spacing w:lineRule="auto" w:line="240"/>
        <w:jc w:val="start"/>
        <w:rPr/>
      </w:pPr>
      <w:r>
        <w:rPr/>
        <w:t>Objectives and Accomplishments for 1999</w:t>
      </w:r>
    </w:p>
    <w:p>
      <w:pPr>
        <w:pStyle w:val="Heading"/>
        <w:numPr>
          <w:ilvl w:val="0"/>
          <w:numId w:val="45"/>
        </w:numPr>
        <w:spacing w:lineRule="auto" w:line="240"/>
        <w:jc w:val="start"/>
        <w:rPr/>
      </w:pPr>
      <w:r>
        <w:rPr/>
        <w:t>International Accomplishments 1999</w:t>
      </w:r>
    </w:p>
    <w:p>
      <w:pPr>
        <w:pStyle w:val="Heading"/>
        <w:numPr>
          <w:ilvl w:val="0"/>
          <w:numId w:val="45"/>
        </w:numPr>
        <w:spacing w:lineRule="auto" w:line="240"/>
        <w:jc w:val="start"/>
        <w:rPr/>
      </w:pPr>
      <w:r>
        <w:rPr/>
        <w:t>Domestic Accomplishments 1999</w:t>
      </w:r>
    </w:p>
    <w:p>
      <w:pPr>
        <w:pStyle w:val="Heading"/>
        <w:numPr>
          <w:ilvl w:val="0"/>
          <w:numId w:val="45"/>
        </w:numPr>
        <w:spacing w:lineRule="auto" w:line="240"/>
        <w:jc w:val="start"/>
        <w:rPr/>
      </w:pPr>
      <w:r>
        <w:rPr/>
        <w:t>Addendum</w:t>
      </w:r>
    </w:p>
    <w:p>
      <w:pPr>
        <w:pStyle w:val="Heading"/>
        <w:numPr>
          <w:ilvl w:val="0"/>
          <w:numId w:val="45"/>
        </w:numPr>
        <w:spacing w:lineRule="auto" w:line="240"/>
        <w:jc w:val="start"/>
        <w:rPr/>
      </w:pPr>
      <w:r>
        <w:rPr/>
        <w:t>Organizations</w:t>
      </w:r>
    </w:p>
    <w:p>
      <w:pPr>
        <w:pStyle w:val="Heading"/>
        <w:numPr>
          <w:ilvl w:val="0"/>
          <w:numId w:val="45"/>
        </w:numPr>
        <w:spacing w:lineRule="auto" w:line="240"/>
        <w:jc w:val="start"/>
        <w:rPr/>
      </w:pPr>
      <w:r>
        <w:rPr/>
        <w:t>2000 Issues and Objectives</w:t>
      </w:r>
    </w:p>
    <w:p>
      <w:pPr>
        <w:pStyle w:val="Heading"/>
        <w:numPr>
          <w:ilvl w:val="0"/>
          <w:numId w:val="45"/>
        </w:numPr>
        <w:spacing w:lineRule="auto" w:line="240"/>
        <w:jc w:val="start"/>
        <w:rPr/>
      </w:pPr>
      <w:r>
        <w:rPr/>
        <w:t>List of Events Organized and Executed</w:t>
      </w:r>
    </w:p>
    <w:p>
      <w:pPr>
        <w:sectPr>
          <w:footerReference w:type="default" r:id="rId2"/>
          <w:footerReference w:type="first" r:id="rId3"/>
          <w:type w:val="nextPage"/>
          <w:pgSz w:w="12240" w:h="15840"/>
          <w:pgMar w:left="1800" w:right="1800" w:gutter="0" w:header="0" w:top="1440" w:footer="720" w:bottom="864"/>
          <w:pgNumType w:fmt="decimal"/>
          <w:formProt w:val="false"/>
          <w:titlePg/>
          <w:textDirection w:val="lrTb"/>
          <w:docGrid w:type="default" w:linePitch="360" w:charSpace="0"/>
        </w:sectPr>
        <w:pStyle w:val="Heading"/>
        <w:spacing w:lineRule="auto" w:line="240"/>
        <w:rPr/>
      </w:pPr>
      <w:r>
        <w:rPr/>
      </w:r>
    </w:p>
    <w:p>
      <w:pPr>
        <w:pStyle w:val="Normal"/>
        <w:rPr>
          <w:sz w:val="24"/>
        </w:rPr>
      </w:pPr>
      <w:r>
        <w:rPr>
          <w:sz w:val="24"/>
        </w:rPr>
        <w:t>The following is a report covering issues addressed and projects supported by the office through December 6, 1999.</w:t>
      </w:r>
    </w:p>
    <w:p>
      <w:pPr>
        <w:pStyle w:val="Normal"/>
        <w:rPr>
          <w:sz w:val="24"/>
        </w:rPr>
      </w:pPr>
      <w:r>
        <w:rPr>
          <w:sz w:val="24"/>
        </w:rPr>
      </w:r>
    </w:p>
    <w:p>
      <w:pPr>
        <w:pStyle w:val="Normal"/>
        <w:rPr/>
      </w:pPr>
      <w:r>
        <w:rPr>
          <w:sz w:val="24"/>
        </w:rPr>
        <w:t>Several legislative issues are pending resolution as the second session of the 106</w:t>
      </w:r>
      <w:r>
        <w:rPr>
          <w:sz w:val="24"/>
          <w:vertAlign w:val="superscript"/>
        </w:rPr>
        <w:t>th</w:t>
      </w:r>
      <w:r>
        <w:rPr>
          <w:sz w:val="24"/>
        </w:rPr>
        <w:t xml:space="preserve"> Congress will resume work on January 24, 2000, with target adjournment for October 2000.</w:t>
      </w:r>
    </w:p>
    <w:p>
      <w:pPr>
        <w:pStyle w:val="Normal"/>
        <w:rPr>
          <w:sz w:val="24"/>
        </w:rPr>
      </w:pPr>
      <w:r>
        <w:rPr>
          <w:sz w:val="24"/>
        </w:rPr>
      </w:r>
    </w:p>
    <w:p>
      <w:pPr>
        <w:pStyle w:val="Normal"/>
        <w:rPr>
          <w:sz w:val="24"/>
        </w:rPr>
      </w:pPr>
      <w:r>
        <w:rPr>
          <w:sz w:val="24"/>
        </w:rPr>
        <w:t>Many of Enron’s issues have been under consideration in the first half of the 1999-2000 session.  The second session of legislative business begins after the State of the Union address scheduled for January 25, 2000 which will focus on President Clinton’s “legacy.”</w:t>
      </w:r>
    </w:p>
    <w:p>
      <w:pPr>
        <w:pStyle w:val="Normal"/>
        <w:rPr>
          <w:sz w:val="24"/>
        </w:rPr>
      </w:pPr>
      <w:r>
        <w:rPr>
          <w:sz w:val="24"/>
        </w:rPr>
      </w:r>
    </w:p>
    <w:p>
      <w:pPr>
        <w:pStyle w:val="Normal"/>
        <w:rPr>
          <w:sz w:val="24"/>
        </w:rPr>
      </w:pPr>
      <w:r>
        <w:rPr>
          <w:sz w:val="24"/>
        </w:rPr>
        <w:t>2000 also culminates with the Presidential election cycle which includes the Presidential primaries, political party conventions, and the Presidential and Congressional elections in November 2000.</w:t>
      </w:r>
    </w:p>
    <w:p>
      <w:pPr>
        <w:pStyle w:val="Normal"/>
        <w:rPr>
          <w:sz w:val="24"/>
        </w:rPr>
      </w:pPr>
      <w:r>
        <w:rPr>
          <w:sz w:val="24"/>
        </w:rPr>
      </w:r>
    </w:p>
    <w:p>
      <w:pPr>
        <w:pStyle w:val="Normal"/>
        <w:rPr>
          <w:sz w:val="24"/>
        </w:rPr>
      </w:pPr>
      <w:r>
        <w:rPr>
          <w:sz w:val="24"/>
        </w:rPr>
        <w:t>The Congressional elections in November are very much on politicians’ minds and will have a significant impact on the legislative agenda that the next Congress will address, with the majority party for the House being very much an open question.  Many members of Congress are retiring and some members seeking reelection will not be reelected.  Thus, retiring members will become “lame ducks” in 2000 while those with tough elections will shy away from taking stands on tough votes.</w:t>
      </w:r>
    </w:p>
    <w:p>
      <w:pPr>
        <w:pStyle w:val="Normal"/>
        <w:rPr>
          <w:sz w:val="24"/>
        </w:rPr>
      </w:pPr>
      <w:r>
        <w:rPr>
          <w:sz w:val="24"/>
        </w:rPr>
      </w:r>
    </w:p>
    <w:p>
      <w:pPr>
        <w:pStyle w:val="Normal"/>
        <w:rPr>
          <w:sz w:val="24"/>
        </w:rPr>
      </w:pPr>
      <w:r>
        <w:rPr>
          <w:sz w:val="24"/>
        </w:rPr>
        <w:t>Republicans placed a six-year limit on their chairmen which takes effect with new leadership in 2001.  2000 marks the year for when these term-limited chairmen, including House Commerce Committee Chairman Bliley, must complete their legacies (which in Bliley’s case is to enact electric competition legislation).  Much jockeying is now occurring as to which members will chair which committees in the next Congress.  Even if the Republicans maintain the majority in the next Congress, the Committees will experience major changes.  Regardless of which party holds the majority, the margin will remain slim so bi-partisanship will be necessary.  And 2000 will guarantee a lack of bipartisan consensus for any Presidential political issues making business issues like bankruptcy and electric restructuring passable and political issues like education and healthcare deadlocked.</w:t>
      </w:r>
    </w:p>
    <w:p>
      <w:pPr>
        <w:pStyle w:val="Normal"/>
        <w:rPr>
          <w:sz w:val="24"/>
        </w:rPr>
      </w:pPr>
      <w:r>
        <w:rPr>
          <w:sz w:val="24"/>
        </w:rPr>
      </w:r>
    </w:p>
    <w:p>
      <w:pPr>
        <w:pStyle w:val="Normal"/>
        <w:rPr>
          <w:sz w:val="24"/>
        </w:rPr>
      </w:pPr>
      <w:r>
        <w:rPr>
          <w:sz w:val="24"/>
        </w:rPr>
        <w:t>Global and trade issues are a major part of our responsibility.  Foreign governments have become highly sophisticated about the workings of the US government and call upon the pro-active companies to fight negative issues and advocate on their behalf in Washington.  Enron is a leading pro-active company in this regard.</w:t>
      </w:r>
    </w:p>
    <w:p>
      <w:pPr>
        <w:pStyle w:val="Normal"/>
        <w:rPr>
          <w:sz w:val="24"/>
        </w:rPr>
      </w:pPr>
      <w:r>
        <w:rPr>
          <w:sz w:val="24"/>
        </w:rPr>
      </w:r>
    </w:p>
    <w:p>
      <w:pPr>
        <w:pStyle w:val="Normal"/>
        <w:rPr>
          <w:sz w:val="24"/>
        </w:rPr>
      </w:pPr>
      <w:r>
        <w:rPr>
          <w:sz w:val="24"/>
        </w:rPr>
        <w:t>Major emphasis on Enron’s presence in the communications area will require many resources in 2000.  We have developed a strategy that will position Enron as a leader in this field.</w:t>
      </w:r>
    </w:p>
    <w:p>
      <w:pPr>
        <w:pStyle w:val="Normal"/>
        <w:rPr>
          <w:sz w:val="24"/>
        </w:rPr>
      </w:pPr>
      <w:r>
        <w:rPr>
          <w:sz w:val="24"/>
        </w:rPr>
      </w:r>
    </w:p>
    <w:p>
      <w:pPr>
        <w:pStyle w:val="Normal"/>
        <w:rPr>
          <w:sz w:val="24"/>
        </w:rPr>
      </w:pPr>
      <w:r>
        <w:rPr>
          <w:sz w:val="24"/>
        </w:rPr>
        <w:t>The office is increasingly called upon to organize and host functions, actively participates in a growing range of organizations and addresses urgent requests for priority advocacy on a daily basis.</w:t>
      </w:r>
    </w:p>
    <w:p>
      <w:pPr>
        <w:pStyle w:val="Normal"/>
        <w:jc w:val="center"/>
        <w:rPr>
          <w:sz w:val="24"/>
        </w:rPr>
      </w:pPr>
      <w:r>
        <w:rPr>
          <w:sz w:val="24"/>
        </w:rPr>
      </w:r>
    </w:p>
    <w:p>
      <w:pPr>
        <w:sectPr>
          <w:footerReference w:type="default" r:id="rId4"/>
          <w:footerReference w:type="first" r:id="rId5"/>
          <w:type w:val="nextPage"/>
          <w:pgSz w:w="12240" w:h="15840"/>
          <w:pgMar w:left="1800" w:right="1800" w:gutter="0" w:header="0" w:top="1152" w:footer="720" w:bottom="776"/>
          <w:pgNumType w:fmt="decimal"/>
          <w:formProt w:val="false"/>
          <w:textDirection w:val="lrTb"/>
          <w:docGrid w:type="default" w:linePitch="360" w:charSpace="0"/>
        </w:sectPr>
        <w:pStyle w:val="Normal"/>
        <w:rPr>
          <w:sz w:val="24"/>
        </w:rPr>
      </w:pPr>
      <w:r>
        <w:rPr>
          <w:sz w:val="24"/>
        </w:rPr>
        <w:t>The following report is prepared to provide information covering this wide and growing range of responsibilities in 1999 and our current projections for 2000.</w:t>
      </w:r>
    </w:p>
    <w:p>
      <w:pPr>
        <w:pStyle w:val="Heading"/>
        <w:spacing w:lineRule="auto" w:line="240"/>
        <w:rPr>
          <w:sz w:val="24"/>
        </w:rPr>
      </w:pPr>
      <w:r>
        <w:rPr>
          <w:sz w:val="24"/>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Normal"/>
        <w:jc w:val="center"/>
        <w:rPr>
          <w:b/>
          <w:color w:val="000000"/>
          <w:sz w:val="40"/>
          <w:lang w:eastAsia="en-US"/>
        </w:rPr>
      </w:pPr>
      <w:r>
        <w:rPr>
          <w:b/>
          <w:color w:val="000000"/>
          <w:sz w:val="40"/>
          <w:lang w:eastAsia="en-US"/>
        </w:rPr>
        <w:t>A.</w:t>
      </w:r>
    </w:p>
    <w:p>
      <w:pPr>
        <w:pStyle w:val="Normal"/>
        <w:jc w:val="center"/>
        <w:rPr>
          <w:b/>
          <w:color w:val="000000"/>
          <w:sz w:val="40"/>
          <w:lang w:eastAsia="en-US"/>
        </w:rPr>
      </w:pPr>
      <w:r>
        <w:rPr>
          <w:b/>
          <w:color w:val="000000"/>
          <w:sz w:val="40"/>
          <w:lang w:eastAsia="en-US"/>
        </w:rPr>
      </w:r>
    </w:p>
    <w:p>
      <w:pPr>
        <w:pStyle w:val="Normal"/>
        <w:jc w:val="center"/>
        <w:rPr>
          <w:b/>
          <w:color w:val="000000"/>
          <w:sz w:val="40"/>
          <w:lang w:eastAsia="en-US"/>
        </w:rPr>
      </w:pPr>
      <w:r>
        <w:rPr>
          <w:b/>
          <w:color w:val="000000"/>
          <w:sz w:val="40"/>
          <w:lang w:eastAsia="en-US"/>
        </w:rPr>
        <w:t>Organizational Chart</w:t>
      </w:r>
      <w:r>
        <w:br w:type="page"/>
      </w:r>
    </w:p>
    <w:p>
      <w:pPr>
        <w:pStyle w:val="Heading"/>
        <w:spacing w:lineRule="auto" w:line="240"/>
        <w:rPr>
          <w:b w:val="false"/>
          <w:color w:val="000000"/>
          <w:sz w:val="24"/>
          <w:lang w:eastAsia="en-US"/>
        </w:rPr>
      </w:pPr>
      <w:r>
        <w:rPr>
          <w:b w:val="false"/>
          <w:color w:val="000000"/>
          <w:sz w:val="24"/>
          <w:lang w:eastAsia="en-US"/>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Normal"/>
        <w:jc w:val="center"/>
        <w:rPr>
          <w:b/>
          <w:color w:val="000000"/>
          <w:sz w:val="40"/>
          <w:lang w:eastAsia="en-US"/>
        </w:rPr>
      </w:pPr>
      <w:r>
        <w:rPr>
          <w:b/>
          <w:color w:val="000000"/>
          <w:sz w:val="40"/>
          <w:lang w:eastAsia="en-US"/>
        </w:rPr>
        <w:t>B.</w:t>
      </w:r>
    </w:p>
    <w:p>
      <w:pPr>
        <w:pStyle w:val="Normal"/>
        <w:jc w:val="center"/>
        <w:rPr>
          <w:b/>
          <w:color w:val="000000"/>
          <w:sz w:val="40"/>
          <w:lang w:eastAsia="en-US"/>
        </w:rPr>
      </w:pPr>
      <w:r>
        <w:rPr>
          <w:b/>
          <w:color w:val="000000"/>
          <w:sz w:val="40"/>
          <w:lang w:eastAsia="en-US"/>
        </w:rPr>
      </w:r>
    </w:p>
    <w:p>
      <w:pPr>
        <w:pStyle w:val="Normal"/>
        <w:jc w:val="center"/>
        <w:rPr>
          <w:b/>
          <w:color w:val="000000"/>
          <w:sz w:val="40"/>
          <w:lang w:eastAsia="en-US"/>
        </w:rPr>
      </w:pPr>
      <w:r>
        <w:rPr>
          <w:b/>
          <w:color w:val="000000"/>
          <w:sz w:val="40"/>
          <w:lang w:eastAsia="en-US"/>
        </w:rPr>
        <w:t>1999 Objectives and Accomplishments</w:t>
      </w:r>
      <w:r>
        <w:br w:type="page"/>
      </w:r>
    </w:p>
    <w:p>
      <w:pPr>
        <w:pStyle w:val="Normal"/>
        <w:jc w:val="center"/>
        <w:rPr>
          <w:sz w:val="24"/>
        </w:rPr>
      </w:pPr>
      <w:r>
        <w:rPr>
          <w:b/>
          <w:sz w:val="24"/>
        </w:rPr>
        <w:t>Enron Federal Government Affairs - 1999 Objectives and Accomplishments</w:t>
      </w:r>
    </w:p>
    <w:p>
      <w:pPr>
        <w:pStyle w:val="Normal"/>
        <w:rPr>
          <w:sz w:val="24"/>
        </w:rPr>
      </w:pPr>
      <w:r>
        <w:rPr>
          <w:sz w:val="24"/>
        </w:rPr>
      </w:r>
    </w:p>
    <w:p>
      <w:pPr>
        <w:pStyle w:val="Normal"/>
        <w:rPr>
          <w:sz w:val="24"/>
        </w:rPr>
      </w:pPr>
      <w:r>
        <w:rPr>
          <w:sz w:val="24"/>
        </w:rPr>
      </w:r>
    </w:p>
    <w:p>
      <w:pPr>
        <w:pStyle w:val="Normal"/>
        <w:numPr>
          <w:ilvl w:val="0"/>
          <w:numId w:val="27"/>
        </w:numPr>
        <w:rPr>
          <w:sz w:val="24"/>
        </w:rPr>
      </w:pPr>
      <w:r>
        <w:rPr>
          <w:sz w:val="24"/>
        </w:rPr>
        <w:t xml:space="preserve">Passage of an extension of the Production Tax Credit for Wind Power for five years. </w:t>
      </w:r>
    </w:p>
    <w:p>
      <w:pPr>
        <w:pStyle w:val="Normal"/>
        <w:rPr>
          <w:sz w:val="24"/>
        </w:rPr>
      </w:pPr>
      <w:r>
        <w:rPr>
          <w:sz w:val="24"/>
        </w:rPr>
      </w:r>
    </w:p>
    <w:p>
      <w:pPr>
        <w:pStyle w:val="Normal"/>
        <w:numPr>
          <w:ilvl w:val="0"/>
          <w:numId w:val="33"/>
        </w:numPr>
        <w:rPr>
          <w:b/>
          <w:i/>
          <w:i/>
          <w:sz w:val="24"/>
        </w:rPr>
      </w:pPr>
      <w:r>
        <w:rPr>
          <w:b/>
          <w:i/>
          <w:color w:val="000000"/>
          <w:sz w:val="24"/>
          <w:lang w:eastAsia="en-US"/>
        </w:rPr>
        <w:t xml:space="preserve">Enacted a 30-month extension </w:t>
      </w:r>
      <w:r>
        <w:rPr>
          <w:b/>
          <w:i/>
          <w:sz w:val="24"/>
        </w:rPr>
        <w:t>of the Wind Production Tax Credit.</w:t>
      </w:r>
    </w:p>
    <w:p>
      <w:pPr>
        <w:pStyle w:val="Normal"/>
        <w:rPr>
          <w:b/>
          <w:i/>
          <w:i/>
          <w:sz w:val="24"/>
        </w:rPr>
      </w:pPr>
      <w:r>
        <w:rPr>
          <w:b/>
          <w:i/>
          <w:sz w:val="24"/>
        </w:rPr>
      </w:r>
    </w:p>
    <w:p>
      <w:pPr>
        <w:pStyle w:val="Normal"/>
        <w:rPr>
          <w:sz w:val="24"/>
        </w:rPr>
      </w:pPr>
      <w:r>
        <w:rPr>
          <w:sz w:val="24"/>
        </w:rPr>
      </w:r>
    </w:p>
    <w:p>
      <w:pPr>
        <w:pStyle w:val="Normal"/>
        <w:numPr>
          <w:ilvl w:val="0"/>
          <w:numId w:val="27"/>
        </w:numPr>
        <w:rPr>
          <w:sz w:val="24"/>
        </w:rPr>
      </w:pPr>
      <w:r>
        <w:rPr>
          <w:sz w:val="24"/>
        </w:rPr>
        <w:t>Pass Enron foreign tax simplification provisions in the 106</w:t>
      </w:r>
      <w:r>
        <w:rPr>
          <w:sz w:val="24"/>
          <w:vertAlign w:val="superscript"/>
        </w:rPr>
        <w:t>th</w:t>
      </w:r>
      <w:r>
        <w:rPr>
          <w:sz w:val="24"/>
        </w:rPr>
        <w:t xml:space="preserve"> Congress.</w:t>
      </w:r>
    </w:p>
    <w:p>
      <w:pPr>
        <w:pStyle w:val="Normal"/>
        <w:rPr>
          <w:sz w:val="24"/>
        </w:rPr>
      </w:pPr>
      <w:r>
        <w:rPr>
          <w:sz w:val="24"/>
        </w:rPr>
      </w:r>
    </w:p>
    <w:p>
      <w:pPr>
        <w:pStyle w:val="Normal"/>
        <w:numPr>
          <w:ilvl w:val="0"/>
          <w:numId w:val="64"/>
        </w:numPr>
        <w:rPr>
          <w:b/>
          <w:i/>
          <w:i/>
          <w:sz w:val="24"/>
        </w:rPr>
      </w:pPr>
      <w:r>
        <w:rPr>
          <w:b/>
          <w:i/>
          <w:sz w:val="24"/>
        </w:rPr>
        <w:t xml:space="preserve">Three of the five simplification provisions were passed by Congress, but the legislation was vetoed </w:t>
      </w:r>
      <w:r>
        <w:rPr>
          <w:b/>
          <w:i/>
          <w:color w:val="000000"/>
          <w:sz w:val="24"/>
          <w:lang w:eastAsia="en-US"/>
        </w:rPr>
        <w:t>by the White House.  Further consideration expected in 2000.</w:t>
      </w:r>
    </w:p>
    <w:p>
      <w:pPr>
        <w:pStyle w:val="Normal"/>
        <w:rPr>
          <w:b/>
          <w:i/>
          <w:i/>
          <w:sz w:val="24"/>
        </w:rPr>
      </w:pPr>
      <w:r>
        <w:rPr>
          <w:b/>
          <w:i/>
          <w:sz w:val="24"/>
        </w:rPr>
      </w:r>
    </w:p>
    <w:p>
      <w:pPr>
        <w:pStyle w:val="Normal"/>
        <w:rPr>
          <w:sz w:val="24"/>
        </w:rPr>
      </w:pPr>
      <w:r>
        <w:rPr>
          <w:sz w:val="24"/>
        </w:rPr>
      </w:r>
    </w:p>
    <w:p>
      <w:pPr>
        <w:pStyle w:val="Normal"/>
        <w:numPr>
          <w:ilvl w:val="0"/>
          <w:numId w:val="27"/>
        </w:numPr>
        <w:rPr>
          <w:sz w:val="24"/>
        </w:rPr>
      </w:pPr>
      <w:r>
        <w:rPr>
          <w:sz w:val="24"/>
        </w:rPr>
        <w:t>Inclusion of tax related derivatives provision in the final tax bill.  Continue work with the Tax Department to come up with alternatives to legislation that solves the problem.</w:t>
      </w:r>
    </w:p>
    <w:p>
      <w:pPr>
        <w:pStyle w:val="Normal"/>
        <w:numPr>
          <w:ilvl w:val="0"/>
          <w:numId w:val="0"/>
        </w:numPr>
        <w:ind w:hanging="0" w:start="0"/>
        <w:rPr>
          <w:sz w:val="24"/>
        </w:rPr>
      </w:pPr>
      <w:r>
        <w:rPr>
          <w:sz w:val="24"/>
        </w:rPr>
      </w:r>
    </w:p>
    <w:p>
      <w:pPr>
        <w:pStyle w:val="Normal"/>
        <w:numPr>
          <w:ilvl w:val="0"/>
          <w:numId w:val="12"/>
        </w:numPr>
        <w:tabs>
          <w:tab w:val="clear" w:pos="720"/>
        </w:tabs>
        <w:rPr>
          <w:b/>
          <w:i/>
          <w:i/>
          <w:sz w:val="24"/>
        </w:rPr>
      </w:pPr>
      <w:r>
        <w:rPr>
          <w:b/>
          <w:i/>
          <w:sz w:val="24"/>
        </w:rPr>
        <w:t>Enacted derivatives tax provision to clarify capital gain and loss as ordinary income.</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Work to see that IRS regulations or Congressional actions do not prohibit or penalize existing Enron hybrid transactions related to Notice 98-11.</w:t>
      </w:r>
    </w:p>
    <w:p>
      <w:pPr>
        <w:pStyle w:val="Normal"/>
        <w:numPr>
          <w:ilvl w:val="0"/>
          <w:numId w:val="0"/>
        </w:numPr>
        <w:ind w:hanging="0" w:start="0"/>
        <w:rPr>
          <w:sz w:val="24"/>
        </w:rPr>
      </w:pPr>
      <w:r>
        <w:rPr>
          <w:sz w:val="24"/>
        </w:rPr>
      </w:r>
    </w:p>
    <w:p>
      <w:pPr>
        <w:pStyle w:val="Normal"/>
        <w:numPr>
          <w:ilvl w:val="0"/>
          <w:numId w:val="26"/>
        </w:numPr>
        <w:tabs>
          <w:tab w:val="clear" w:pos="720"/>
        </w:tabs>
        <w:rPr>
          <w:b/>
          <w:i/>
          <w:i/>
          <w:sz w:val="24"/>
        </w:rPr>
      </w:pPr>
      <w:r>
        <w:rPr>
          <w:b/>
          <w:i/>
          <w:sz w:val="24"/>
        </w:rPr>
        <w:t>No action in 1999.  In 2000, we expect new regulations from Treasury.</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Monitor efforts to enact fundamental tax reform and possibly participate in Congressional hearings.</w:t>
      </w:r>
    </w:p>
    <w:p>
      <w:pPr>
        <w:pStyle w:val="Normal"/>
        <w:numPr>
          <w:ilvl w:val="0"/>
          <w:numId w:val="0"/>
        </w:numPr>
        <w:ind w:hanging="0" w:start="0"/>
        <w:rPr>
          <w:sz w:val="24"/>
        </w:rPr>
      </w:pPr>
      <w:r>
        <w:rPr>
          <w:sz w:val="24"/>
        </w:rPr>
      </w:r>
    </w:p>
    <w:p>
      <w:pPr>
        <w:pStyle w:val="Normal"/>
        <w:numPr>
          <w:ilvl w:val="0"/>
          <w:numId w:val="35"/>
        </w:numPr>
        <w:tabs>
          <w:tab w:val="clear" w:pos="720"/>
        </w:tabs>
        <w:rPr>
          <w:b/>
          <w:i/>
          <w:i/>
          <w:sz w:val="24"/>
        </w:rPr>
      </w:pPr>
      <w:r>
        <w:rPr>
          <w:b/>
          <w:i/>
          <w:sz w:val="24"/>
        </w:rPr>
        <w:t>Participated in several meetings but no significant action occurred in 1999.  Attended hearings on Corporate Tax Shelters, a new priority issue.</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Support the highest appropriation for export assistance programs in the FY 2000 Foreign Operations bill as well as passage of a possible supplemental appropriation bill for the Ex-Im shortfall for FY1999.</w:t>
      </w:r>
    </w:p>
    <w:p>
      <w:pPr>
        <w:pStyle w:val="Normal"/>
        <w:numPr>
          <w:ilvl w:val="0"/>
          <w:numId w:val="0"/>
        </w:numPr>
        <w:ind w:hanging="0" w:start="0"/>
        <w:rPr>
          <w:sz w:val="24"/>
        </w:rPr>
      </w:pPr>
      <w:r>
        <w:rPr>
          <w:sz w:val="24"/>
        </w:rPr>
      </w:r>
    </w:p>
    <w:p>
      <w:pPr>
        <w:pStyle w:val="Normal"/>
        <w:numPr>
          <w:ilvl w:val="0"/>
          <w:numId w:val="37"/>
        </w:numPr>
        <w:rPr>
          <w:b/>
          <w:i/>
          <w:i/>
          <w:sz w:val="24"/>
        </w:rPr>
      </w:pPr>
      <w:r>
        <w:rPr>
          <w:b/>
          <w:i/>
          <w:sz w:val="24"/>
        </w:rPr>
        <w:t>Passed highest appropriation for export assistance programs in the FY 2000 Foreign Operations bill and passed supplemental appropriation bill for the Ex-Im shortfall for FY1999.</w:t>
      </w:r>
    </w:p>
    <w:p>
      <w:pPr>
        <w:pStyle w:val="Normal"/>
        <w:numPr>
          <w:ilvl w:val="0"/>
          <w:numId w:val="0"/>
        </w:numPr>
        <w:ind w:hanging="0" w:start="0"/>
        <w:rPr>
          <w:b/>
          <w:i/>
          <w:i/>
          <w:sz w:val="24"/>
        </w:rPr>
      </w:pPr>
      <w:r>
        <w:rPr>
          <w:b/>
          <w:i/>
          <w:sz w:val="24"/>
        </w:rPr>
      </w:r>
      <w:r>
        <w:br w:type="page"/>
      </w:r>
    </w:p>
    <w:p>
      <w:pPr>
        <w:pStyle w:val="Normal"/>
        <w:numPr>
          <w:ilvl w:val="0"/>
          <w:numId w:val="27"/>
        </w:numPr>
        <w:rPr>
          <w:sz w:val="24"/>
        </w:rPr>
      </w:pPr>
      <w:r>
        <w:rPr>
          <w:sz w:val="24"/>
        </w:rPr>
        <w:t>Pass multi-year reauthorization of OPIC with adequate funding.</w:t>
      </w:r>
    </w:p>
    <w:p>
      <w:pPr>
        <w:pStyle w:val="Normal"/>
        <w:numPr>
          <w:ilvl w:val="0"/>
          <w:numId w:val="0"/>
        </w:numPr>
        <w:ind w:hanging="0" w:start="0"/>
        <w:rPr>
          <w:sz w:val="24"/>
        </w:rPr>
      </w:pPr>
      <w:r>
        <w:rPr>
          <w:sz w:val="24"/>
        </w:rPr>
      </w:r>
    </w:p>
    <w:p>
      <w:pPr>
        <w:pStyle w:val="Normal"/>
        <w:numPr>
          <w:ilvl w:val="0"/>
          <w:numId w:val="46"/>
        </w:numPr>
        <w:rPr>
          <w:b/>
          <w:i/>
          <w:i/>
          <w:sz w:val="24"/>
        </w:rPr>
      </w:pPr>
      <w:r>
        <w:rPr>
          <w:b/>
          <w:i/>
          <w:sz w:val="24"/>
        </w:rPr>
        <w:t>Passed four year reauthorization of OPIC with adequate funding to provide investment for financing through fiscal 2003 and authorized $48 million for TDA.</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Oppose unilateral trade sanctions.  Support sanction reform legislation.</w:t>
      </w:r>
    </w:p>
    <w:p>
      <w:pPr>
        <w:pStyle w:val="Normal"/>
        <w:numPr>
          <w:ilvl w:val="0"/>
          <w:numId w:val="0"/>
        </w:numPr>
        <w:ind w:hanging="0" w:start="0"/>
        <w:rPr>
          <w:sz w:val="24"/>
        </w:rPr>
      </w:pPr>
      <w:r>
        <w:rPr>
          <w:sz w:val="24"/>
        </w:rPr>
      </w:r>
    </w:p>
    <w:p>
      <w:pPr>
        <w:pStyle w:val="BodyText"/>
        <w:numPr>
          <w:ilvl w:val="0"/>
          <w:numId w:val="58"/>
        </w:numPr>
        <w:rPr/>
      </w:pPr>
      <w:r>
        <w:rPr/>
        <w:t>Permanent exemption for India sanctions was passed.  Partial exemption for Pakistan sanctions was passed.  Successfully fought unilateral Indonesian economic sanctions.  More comprehensive sanctions legislation will be considered in 2000.</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Support re-introduction and passage of MTBE Duty Drawback legislation.</w:t>
      </w:r>
    </w:p>
    <w:p>
      <w:pPr>
        <w:pStyle w:val="Normal"/>
        <w:numPr>
          <w:ilvl w:val="0"/>
          <w:numId w:val="0"/>
        </w:numPr>
        <w:ind w:hanging="0" w:start="0"/>
        <w:rPr>
          <w:sz w:val="24"/>
        </w:rPr>
      </w:pPr>
      <w:r>
        <w:rPr>
          <w:sz w:val="24"/>
        </w:rPr>
      </w:r>
    </w:p>
    <w:p>
      <w:pPr>
        <w:pStyle w:val="Normal"/>
        <w:numPr>
          <w:ilvl w:val="0"/>
          <w:numId w:val="5"/>
        </w:numPr>
        <w:rPr>
          <w:b/>
          <w:i/>
          <w:i/>
          <w:sz w:val="24"/>
        </w:rPr>
      </w:pPr>
      <w:r>
        <w:rPr>
          <w:b/>
          <w:i/>
          <w:sz w:val="24"/>
        </w:rPr>
        <w:t>MTBE duty drawback l</w:t>
      </w:r>
      <w:r>
        <w:rPr>
          <w:b/>
          <w:i/>
          <w:color w:val="000000"/>
          <w:sz w:val="24"/>
          <w:lang w:eastAsia="en-US"/>
        </w:rPr>
        <w:t>egislation enacted into law to provide $2 million annual Enron benefit.  Additional MTBE duty drawback provisions to be enacted in 2000 as contained in Africa trade legislation.</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Support annual extension of China NTR, or possibly a permanent extension of China NTR.</w:t>
      </w:r>
    </w:p>
    <w:p>
      <w:pPr>
        <w:pStyle w:val="Normal"/>
        <w:numPr>
          <w:ilvl w:val="0"/>
          <w:numId w:val="0"/>
        </w:numPr>
        <w:ind w:hanging="0" w:start="0"/>
        <w:rPr>
          <w:sz w:val="24"/>
        </w:rPr>
      </w:pPr>
      <w:r>
        <w:rPr>
          <w:sz w:val="24"/>
        </w:rPr>
      </w:r>
    </w:p>
    <w:p>
      <w:pPr>
        <w:pStyle w:val="Normal"/>
        <w:numPr>
          <w:ilvl w:val="0"/>
          <w:numId w:val="7"/>
        </w:numPr>
        <w:rPr>
          <w:b/>
          <w:i/>
          <w:i/>
          <w:sz w:val="24"/>
        </w:rPr>
      </w:pPr>
      <w:r>
        <w:rPr>
          <w:b/>
          <w:i/>
          <w:color w:val="000000"/>
          <w:sz w:val="24"/>
          <w:lang w:eastAsia="en-US"/>
        </w:rPr>
        <w:t>Annual extension of China NTR was enacted.  Expect permanent extension to be considered in 2000.</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Passage of fast track authority in the 106</w:t>
      </w:r>
      <w:r>
        <w:rPr>
          <w:sz w:val="24"/>
          <w:vertAlign w:val="superscript"/>
        </w:rPr>
        <w:t>th</w:t>
      </w:r>
      <w:r>
        <w:rPr>
          <w:sz w:val="24"/>
        </w:rPr>
        <w:t xml:space="preserve"> Congress.</w:t>
      </w:r>
    </w:p>
    <w:p>
      <w:pPr>
        <w:pStyle w:val="Normal"/>
        <w:numPr>
          <w:ilvl w:val="0"/>
          <w:numId w:val="0"/>
        </w:numPr>
        <w:ind w:hanging="0" w:start="0"/>
        <w:rPr>
          <w:sz w:val="24"/>
        </w:rPr>
      </w:pPr>
      <w:r>
        <w:rPr>
          <w:sz w:val="24"/>
        </w:rPr>
      </w:r>
    </w:p>
    <w:p>
      <w:pPr>
        <w:pStyle w:val="Normal"/>
        <w:numPr>
          <w:ilvl w:val="0"/>
          <w:numId w:val="39"/>
        </w:numPr>
        <w:rPr>
          <w:b/>
          <w:i/>
          <w:i/>
          <w:sz w:val="24"/>
        </w:rPr>
      </w:pPr>
      <w:r>
        <w:rPr>
          <w:b/>
          <w:i/>
          <w:sz w:val="24"/>
        </w:rPr>
        <w:t>Fast track authority legislation was introduced in both the House and Senate, but not considered by either body.  Likely to be reconsidered before 2001.</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Follow various nominations for Ambassadors and Executive Branch Confirmation before the Senate, and support nominations when appropriate.</w:t>
      </w:r>
    </w:p>
    <w:p>
      <w:pPr>
        <w:pStyle w:val="Normal"/>
        <w:rPr>
          <w:sz w:val="24"/>
        </w:rPr>
      </w:pPr>
      <w:r>
        <w:rPr>
          <w:sz w:val="24"/>
        </w:rPr>
      </w:r>
    </w:p>
    <w:p>
      <w:pPr>
        <w:pStyle w:val="Normal"/>
        <w:numPr>
          <w:ilvl w:val="0"/>
          <w:numId w:val="21"/>
        </w:numPr>
        <w:rPr>
          <w:b/>
          <w:i/>
          <w:i/>
          <w:sz w:val="24"/>
        </w:rPr>
      </w:pPr>
      <w:r>
        <w:rPr>
          <w:b/>
          <w:i/>
          <w:sz w:val="24"/>
        </w:rPr>
        <w:t>Several ambassadors and appointments of interest to Enron were confirmed by the Senate.</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Repeal Sec. 907 of the Freedom Support Act (Azerbaijan Sanctions), as well as legislation supporting a Trans-Caspian pipeline.</w:t>
      </w:r>
    </w:p>
    <w:p>
      <w:pPr>
        <w:pStyle w:val="Normal"/>
        <w:numPr>
          <w:ilvl w:val="0"/>
          <w:numId w:val="0"/>
        </w:numPr>
        <w:ind w:hanging="0" w:start="0"/>
        <w:rPr>
          <w:sz w:val="24"/>
        </w:rPr>
      </w:pPr>
      <w:r>
        <w:rPr>
          <w:sz w:val="24"/>
        </w:rPr>
      </w:r>
    </w:p>
    <w:p>
      <w:pPr>
        <w:pStyle w:val="Normal"/>
        <w:numPr>
          <w:ilvl w:val="0"/>
          <w:numId w:val="56"/>
        </w:numPr>
        <w:rPr>
          <w:b/>
          <w:i/>
          <w:i/>
          <w:sz w:val="24"/>
        </w:rPr>
      </w:pPr>
      <w:r>
        <w:rPr>
          <w:b/>
          <w:i/>
          <w:sz w:val="24"/>
        </w:rPr>
        <w:t>Full repeal passed the Senate and is now pending in the House.  A vote is not expected before 2001.</w:t>
      </w:r>
    </w:p>
    <w:p>
      <w:pPr>
        <w:pStyle w:val="Normal"/>
        <w:numPr>
          <w:ilvl w:val="0"/>
          <w:numId w:val="0"/>
        </w:numPr>
        <w:ind w:hanging="0" w:start="0"/>
        <w:rPr>
          <w:b/>
          <w:i/>
          <w:i/>
          <w:sz w:val="24"/>
        </w:rPr>
      </w:pPr>
      <w:r>
        <w:rPr>
          <w:b/>
          <w:i/>
          <w:sz w:val="24"/>
        </w:rPr>
      </w:r>
    </w:p>
    <w:p>
      <w:pPr>
        <w:pStyle w:val="Normal"/>
        <w:numPr>
          <w:ilvl w:val="0"/>
          <w:numId w:val="27"/>
        </w:numPr>
        <w:rPr>
          <w:sz w:val="24"/>
        </w:rPr>
      </w:pPr>
      <w:r>
        <w:rPr>
          <w:sz w:val="24"/>
        </w:rPr>
        <w:t>Passage of Africa Growth and Opportunity Act.</w:t>
      </w:r>
    </w:p>
    <w:p>
      <w:pPr>
        <w:pStyle w:val="Normal"/>
        <w:numPr>
          <w:ilvl w:val="0"/>
          <w:numId w:val="0"/>
        </w:numPr>
        <w:ind w:hanging="0" w:start="0"/>
        <w:rPr>
          <w:sz w:val="24"/>
        </w:rPr>
      </w:pPr>
      <w:r>
        <w:rPr>
          <w:sz w:val="24"/>
        </w:rPr>
      </w:r>
    </w:p>
    <w:p>
      <w:pPr>
        <w:pStyle w:val="Normal"/>
        <w:numPr>
          <w:ilvl w:val="0"/>
          <w:numId w:val="50"/>
        </w:numPr>
        <w:rPr>
          <w:b/>
          <w:i/>
          <w:i/>
          <w:sz w:val="24"/>
        </w:rPr>
      </w:pPr>
      <w:r>
        <w:rPr>
          <w:b/>
          <w:i/>
          <w:sz w:val="24"/>
        </w:rPr>
        <w:t>Africa Growth and Opportunity Act passed the Senate and the House.  It will be Conferenced in early 2000.</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Support Jackson Vanik waiver for Vietnam.</w:t>
      </w:r>
    </w:p>
    <w:p>
      <w:pPr>
        <w:pStyle w:val="Normal"/>
        <w:rPr>
          <w:sz w:val="24"/>
        </w:rPr>
      </w:pPr>
      <w:r>
        <w:rPr>
          <w:sz w:val="24"/>
        </w:rPr>
      </w:r>
    </w:p>
    <w:p>
      <w:pPr>
        <w:pStyle w:val="Normal"/>
        <w:numPr>
          <w:ilvl w:val="0"/>
          <w:numId w:val="62"/>
        </w:numPr>
        <w:rPr>
          <w:b/>
          <w:i/>
          <w:i/>
          <w:sz w:val="24"/>
        </w:rPr>
      </w:pPr>
      <w:r>
        <w:rPr>
          <w:b/>
          <w:i/>
          <w:sz w:val="24"/>
        </w:rPr>
        <w:t>Jackson Vanik waiver for Vietnam was enacted.</w:t>
      </w:r>
    </w:p>
    <w:p>
      <w:pPr>
        <w:pStyle w:val="Normal"/>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Support for the Department of Commerce Advocacy Center (in Commerce, Justice State Dept. Appropriations).</w:t>
      </w:r>
    </w:p>
    <w:p>
      <w:pPr>
        <w:pStyle w:val="Normal"/>
        <w:numPr>
          <w:ilvl w:val="0"/>
          <w:numId w:val="0"/>
        </w:numPr>
        <w:ind w:hanging="0" w:start="0"/>
        <w:rPr>
          <w:sz w:val="24"/>
        </w:rPr>
      </w:pPr>
      <w:r>
        <w:rPr>
          <w:sz w:val="24"/>
        </w:rPr>
      </w:r>
    </w:p>
    <w:p>
      <w:pPr>
        <w:pStyle w:val="Normal"/>
        <w:numPr>
          <w:ilvl w:val="0"/>
          <w:numId w:val="61"/>
        </w:numPr>
        <w:rPr>
          <w:b/>
          <w:i/>
          <w:i/>
          <w:sz w:val="24"/>
        </w:rPr>
      </w:pPr>
      <w:r>
        <w:rPr>
          <w:b/>
          <w:i/>
          <w:sz w:val="24"/>
        </w:rPr>
        <w:t>Appropriations legislation supporting the Advocacy Center enacted in 1998.</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Continue support and advocacy for Enron development projects domestically and globally within the U.S. government and foreign governments.</w:t>
      </w:r>
    </w:p>
    <w:p>
      <w:pPr>
        <w:pStyle w:val="Normal"/>
        <w:numPr>
          <w:ilvl w:val="0"/>
          <w:numId w:val="0"/>
        </w:numPr>
        <w:ind w:hanging="0" w:start="0"/>
        <w:rPr>
          <w:sz w:val="24"/>
        </w:rPr>
      </w:pPr>
      <w:r>
        <w:rPr>
          <w:sz w:val="24"/>
        </w:rPr>
      </w:r>
    </w:p>
    <w:p>
      <w:pPr>
        <w:pStyle w:val="Normal"/>
        <w:numPr>
          <w:ilvl w:val="0"/>
          <w:numId w:val="42"/>
        </w:numPr>
        <w:rPr>
          <w:b/>
          <w:i/>
          <w:i/>
          <w:sz w:val="24"/>
        </w:rPr>
      </w:pPr>
      <w:r>
        <w:rPr>
          <w:b/>
          <w:i/>
          <w:sz w:val="24"/>
        </w:rPr>
        <w:t>Continued support and advocacy for many Enron projects.</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Support Bilateral Investment Treaty (BIT) approval for U.S.-Bolivia.</w:t>
      </w:r>
    </w:p>
    <w:p>
      <w:pPr>
        <w:pStyle w:val="Normal"/>
        <w:numPr>
          <w:ilvl w:val="0"/>
          <w:numId w:val="0"/>
        </w:numPr>
        <w:ind w:hanging="0" w:start="0"/>
        <w:rPr>
          <w:sz w:val="24"/>
        </w:rPr>
      </w:pPr>
      <w:r>
        <w:rPr>
          <w:sz w:val="24"/>
        </w:rPr>
      </w:r>
    </w:p>
    <w:p>
      <w:pPr>
        <w:pStyle w:val="Normal"/>
        <w:numPr>
          <w:ilvl w:val="0"/>
          <w:numId w:val="31"/>
        </w:numPr>
        <w:rPr>
          <w:b/>
          <w:i/>
          <w:i/>
          <w:sz w:val="24"/>
        </w:rPr>
      </w:pPr>
      <w:r>
        <w:rPr>
          <w:b/>
          <w:i/>
          <w:sz w:val="24"/>
        </w:rPr>
        <w:t>BIT approval for U.S.-Bolivia was not submitted to Congress by the Executive Branch, but Enron successfully led creation of U.S.-Bolivia Business Partnership.</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Pass in House and Senate transmission reliability legislation, while seeking to add provisions on customer choice, energy services, private use, stranded cost recovery, aggregation, market power abuses and PUHCA repeal.  Work to successfully modify damaging language on reciprocity, consumer “right to know,” consumer benefits funds, PURPA and environmental provisions.  Seek FERC equivalency for BPA and TVA titles.</w:t>
      </w:r>
    </w:p>
    <w:p>
      <w:pPr>
        <w:pStyle w:val="Normal"/>
        <w:rPr>
          <w:sz w:val="24"/>
        </w:rPr>
      </w:pPr>
      <w:r>
        <w:rPr>
          <w:sz w:val="24"/>
        </w:rPr>
      </w:r>
    </w:p>
    <w:p>
      <w:pPr>
        <w:pStyle w:val="Normal"/>
        <w:numPr>
          <w:ilvl w:val="0"/>
          <w:numId w:val="4"/>
        </w:numPr>
        <w:rPr>
          <w:b/>
          <w:i/>
          <w:i/>
          <w:sz w:val="24"/>
        </w:rPr>
      </w:pPr>
      <w:r>
        <w:rPr>
          <w:b/>
          <w:i/>
          <w:sz w:val="24"/>
        </w:rPr>
        <w:t>PUHCA passed Senate Committee.  Comprehensive Competition and Reliability legislation passed House Subcommittee.  Successfully modified all damaging language identified in 1998.  Drafted key amendments to address new issues.  Enron written, bipartisan electricity legislation introduced in the House.  Led several national coalition efforts.  Expect bill enactment October 2000.</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r>
        <w:br w:type="page"/>
      </w:r>
    </w:p>
    <w:p>
      <w:pPr>
        <w:pStyle w:val="Normal"/>
        <w:numPr>
          <w:ilvl w:val="0"/>
          <w:numId w:val="27"/>
        </w:numPr>
        <w:rPr>
          <w:sz w:val="24"/>
        </w:rPr>
      </w:pPr>
      <w:r>
        <w:rPr>
          <w:sz w:val="24"/>
        </w:rPr>
        <w:t>Pass legislation to require the Architect of the Capitol to competitively bid its energy contract for the new Capitol Visitors’ Center.</w:t>
      </w:r>
    </w:p>
    <w:p>
      <w:pPr>
        <w:pStyle w:val="Normal"/>
        <w:numPr>
          <w:ilvl w:val="0"/>
          <w:numId w:val="0"/>
        </w:numPr>
        <w:ind w:hanging="0" w:start="0"/>
        <w:rPr>
          <w:sz w:val="24"/>
        </w:rPr>
      </w:pPr>
      <w:r>
        <w:rPr>
          <w:sz w:val="24"/>
        </w:rPr>
      </w:r>
    </w:p>
    <w:p>
      <w:pPr>
        <w:pStyle w:val="Normal"/>
        <w:numPr>
          <w:ilvl w:val="0"/>
          <w:numId w:val="36"/>
        </w:numPr>
        <w:rPr>
          <w:b/>
          <w:i/>
          <w:i/>
          <w:sz w:val="24"/>
        </w:rPr>
      </w:pPr>
      <w:r>
        <w:rPr>
          <w:b/>
          <w:i/>
          <w:sz w:val="24"/>
        </w:rPr>
        <w:t>Legislation was not actively considered in 1999, dialogue to continue in 2000.</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Amend all electricity reciprocity provisions so as not to cause financial harm due to Oregon PUC in-action.</w:t>
      </w:r>
    </w:p>
    <w:p>
      <w:pPr>
        <w:pStyle w:val="Normal"/>
        <w:numPr>
          <w:ilvl w:val="0"/>
          <w:numId w:val="0"/>
        </w:numPr>
        <w:ind w:hanging="0" w:start="0"/>
        <w:rPr>
          <w:sz w:val="24"/>
        </w:rPr>
      </w:pPr>
      <w:r>
        <w:rPr>
          <w:sz w:val="24"/>
        </w:rPr>
      </w:r>
    </w:p>
    <w:p>
      <w:pPr>
        <w:pStyle w:val="Normal"/>
        <w:numPr>
          <w:ilvl w:val="0"/>
          <w:numId w:val="9"/>
        </w:numPr>
        <w:rPr>
          <w:b/>
          <w:i/>
          <w:i/>
          <w:sz w:val="24"/>
        </w:rPr>
      </w:pPr>
      <w:r>
        <w:rPr>
          <w:b/>
          <w:i/>
          <w:sz w:val="24"/>
        </w:rPr>
        <w:t>Successfully amended all reciprocity provisions.  Expect bill enactment in 2000.</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Reach a permanent solution to oil/gas royalty problems, rather than continuing to pass appropriations riders to temporarily prevent MMS from finalizing regulations.  This includes, passage of royalty-in-kind legislation, or some type of negotiated solution between industry and MMS that is legally-binding and monitored by Congress.</w:t>
      </w:r>
    </w:p>
    <w:p>
      <w:pPr>
        <w:pStyle w:val="Normal"/>
        <w:rPr>
          <w:sz w:val="24"/>
        </w:rPr>
      </w:pPr>
      <w:r>
        <w:rPr>
          <w:sz w:val="24"/>
        </w:rPr>
      </w:r>
    </w:p>
    <w:p>
      <w:pPr>
        <w:pStyle w:val="Normal"/>
        <w:numPr>
          <w:ilvl w:val="0"/>
          <w:numId w:val="57"/>
        </w:numPr>
        <w:rPr>
          <w:b/>
          <w:i/>
          <w:i/>
          <w:sz w:val="24"/>
        </w:rPr>
      </w:pPr>
      <w:r>
        <w:rPr>
          <w:b/>
          <w:i/>
          <w:sz w:val="24"/>
        </w:rPr>
        <w:t>EOG sale eliminated major exposure to royalty issues.  Enacted temporary moratorium on new MMS rules until March, 2000.</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Obtain a statutory exemption from Commodity Futures Trading Commission (CFTC) regulation for energy derivatives, prevent a movement of regulatory authority over energy derivatives to other financial regulatory agencies (Fed, Treasury, SEC).  Maintain light-handed regulation by CFTC.</w:t>
      </w:r>
    </w:p>
    <w:p>
      <w:pPr>
        <w:pStyle w:val="Normal"/>
        <w:rPr>
          <w:sz w:val="24"/>
        </w:rPr>
      </w:pPr>
      <w:r>
        <w:rPr>
          <w:sz w:val="24"/>
        </w:rPr>
      </w:r>
    </w:p>
    <w:p>
      <w:pPr>
        <w:pStyle w:val="Normal"/>
        <w:numPr>
          <w:ilvl w:val="0"/>
          <w:numId w:val="66"/>
        </w:numPr>
        <w:rPr>
          <w:b/>
          <w:i/>
          <w:i/>
          <w:sz w:val="24"/>
        </w:rPr>
      </w:pPr>
      <w:r>
        <w:rPr>
          <w:b/>
          <w:i/>
          <w:sz w:val="24"/>
        </w:rPr>
        <w:t>Participated in Congressional workshops.  Legislation expected in 2000.  Enron successfully impacted President’s Working Group Report.</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Work toward introduction of bipartisan legislation on “credit for early action” to reduce greenhouse gases and other bills that employ market-based solutions to climate change.  Continue ongoing education of Congress, environmental, and industry groups as to the potential for market based solutions to climate change, as well as support for Enron new business opportunities arising from the climate change debate and Clean Air Act reauthorization.</w:t>
      </w:r>
    </w:p>
    <w:p>
      <w:pPr>
        <w:pStyle w:val="Normal"/>
        <w:numPr>
          <w:ilvl w:val="0"/>
          <w:numId w:val="0"/>
        </w:numPr>
        <w:ind w:hanging="0" w:start="0"/>
        <w:rPr>
          <w:sz w:val="24"/>
        </w:rPr>
      </w:pPr>
      <w:r>
        <w:rPr>
          <w:sz w:val="24"/>
        </w:rPr>
      </w:r>
    </w:p>
    <w:p>
      <w:pPr>
        <w:pStyle w:val="Normal"/>
        <w:numPr>
          <w:ilvl w:val="0"/>
          <w:numId w:val="8"/>
        </w:numPr>
        <w:rPr>
          <w:sz w:val="24"/>
        </w:rPr>
      </w:pPr>
      <w:r>
        <w:rPr>
          <w:b/>
          <w:i/>
          <w:sz w:val="24"/>
        </w:rPr>
        <w:t xml:space="preserve">Credit for early action legislation introduced in the House and Senate.  Enron led formation of coalitions to promote market based approaches to climate change and Clean Air Act issues.  Identified business opportunities and provided timely information to Enron businesses. </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r>
        <w:br w:type="page"/>
      </w:r>
    </w:p>
    <w:p>
      <w:pPr>
        <w:pStyle w:val="Normal"/>
        <w:numPr>
          <w:ilvl w:val="0"/>
          <w:numId w:val="27"/>
        </w:numPr>
        <w:rPr>
          <w:sz w:val="24"/>
        </w:rPr>
      </w:pPr>
      <w:r>
        <w:rPr>
          <w:sz w:val="24"/>
        </w:rPr>
        <w:t>Work on water privatization and infrastructure issues with Azurix; identify new business opportunities arising from federal legislation and regulation.</w:t>
      </w:r>
    </w:p>
    <w:p>
      <w:pPr>
        <w:pStyle w:val="Normal"/>
        <w:numPr>
          <w:ilvl w:val="0"/>
          <w:numId w:val="0"/>
        </w:numPr>
        <w:ind w:hanging="0" w:start="0"/>
        <w:rPr>
          <w:sz w:val="24"/>
        </w:rPr>
      </w:pPr>
      <w:r>
        <w:rPr>
          <w:sz w:val="24"/>
        </w:rPr>
      </w:r>
    </w:p>
    <w:p>
      <w:pPr>
        <w:pStyle w:val="Normal"/>
        <w:numPr>
          <w:ilvl w:val="0"/>
          <w:numId w:val="11"/>
        </w:numPr>
        <w:rPr>
          <w:b/>
          <w:i/>
          <w:i/>
          <w:sz w:val="24"/>
        </w:rPr>
      </w:pPr>
      <w:r>
        <w:rPr>
          <w:b/>
          <w:i/>
          <w:sz w:val="24"/>
        </w:rPr>
        <w:t>Introduced Azurix and its business plans to Congress and Federal agencies, identified business opportunities, and advocated on behalf of Azurix.</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Pass bankruptcy technical corrections that clarify treatment of production payments under the bankruptcy code.  Defeat Department of Interior proposals to change the classification of federal mineral leases under the bankruptcy code, work with Congress and possibly DOI to address producer and lender concerns.</w:t>
      </w:r>
    </w:p>
    <w:p>
      <w:pPr>
        <w:pStyle w:val="Normal"/>
        <w:numPr>
          <w:ilvl w:val="0"/>
          <w:numId w:val="0"/>
        </w:numPr>
        <w:ind w:hanging="0" w:start="0"/>
        <w:rPr>
          <w:sz w:val="24"/>
        </w:rPr>
      </w:pPr>
      <w:r>
        <w:rPr>
          <w:sz w:val="24"/>
        </w:rPr>
      </w:r>
    </w:p>
    <w:p>
      <w:pPr>
        <w:pStyle w:val="Normal"/>
        <w:numPr>
          <w:ilvl w:val="0"/>
          <w:numId w:val="18"/>
        </w:numPr>
        <w:rPr>
          <w:sz w:val="24"/>
        </w:rPr>
      </w:pPr>
      <w:r>
        <w:rPr>
          <w:b/>
          <w:i/>
          <w:sz w:val="24"/>
        </w:rPr>
        <w:t>Technical correction passed in House bill, included in pending Senate bill.  Defeated DOI proposals in House and Senate bills.  Expect enactment in 2000.</w:t>
      </w:r>
    </w:p>
    <w:p>
      <w:pPr>
        <w:pStyle w:val="Normal"/>
        <w:rPr>
          <w:sz w:val="24"/>
        </w:rPr>
      </w:pPr>
      <w:r>
        <w:rPr>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Work to support pipeline litigation against the Port of Houston/Army Corps of Engineers for cost sharing due to pipeline relocations.</w:t>
      </w:r>
    </w:p>
    <w:p>
      <w:pPr>
        <w:pStyle w:val="Normal"/>
        <w:numPr>
          <w:ilvl w:val="0"/>
          <w:numId w:val="0"/>
        </w:numPr>
        <w:ind w:hanging="0" w:start="0"/>
        <w:rPr>
          <w:sz w:val="24"/>
        </w:rPr>
      </w:pPr>
      <w:r>
        <w:rPr>
          <w:sz w:val="24"/>
        </w:rPr>
      </w:r>
    </w:p>
    <w:p>
      <w:pPr>
        <w:pStyle w:val="Normal"/>
        <w:numPr>
          <w:ilvl w:val="0"/>
          <w:numId w:val="16"/>
        </w:numPr>
        <w:rPr>
          <w:sz w:val="24"/>
        </w:rPr>
      </w:pPr>
      <w:r>
        <w:rPr>
          <w:b/>
          <w:i/>
          <w:sz w:val="24"/>
        </w:rPr>
        <w:t>Maintained communication with Congressional offices and provided policy analysis to support pipeline coalition litigation.</w:t>
      </w:r>
    </w:p>
    <w:p>
      <w:pPr>
        <w:pStyle w:val="Normal"/>
        <w:rPr>
          <w:sz w:val="24"/>
        </w:rPr>
      </w:pPr>
      <w:r>
        <w:rPr>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Hydro Re-licensing Goals:  a)  work with PGE and counsel to identify and educate policy makers within DOI and other environmental/resources agencies and Congress as to why PGE should be granted a renewed license in 2001, or full value of rate based dollars, and b)  work with hydropower industry groups toward introduction of bi-partisan legislation to streamline the re-licensing process.</w:t>
      </w:r>
    </w:p>
    <w:p>
      <w:pPr>
        <w:pStyle w:val="Normal"/>
        <w:numPr>
          <w:ilvl w:val="0"/>
          <w:numId w:val="0"/>
        </w:numPr>
        <w:ind w:hanging="0" w:start="0"/>
        <w:rPr>
          <w:sz w:val="24"/>
        </w:rPr>
      </w:pPr>
      <w:r>
        <w:rPr>
          <w:sz w:val="24"/>
        </w:rPr>
      </w:r>
    </w:p>
    <w:p>
      <w:pPr>
        <w:pStyle w:val="Normal"/>
        <w:numPr>
          <w:ilvl w:val="0"/>
          <w:numId w:val="52"/>
        </w:numPr>
        <w:rPr>
          <w:sz w:val="24"/>
        </w:rPr>
      </w:pPr>
      <w:r>
        <w:rPr>
          <w:b/>
          <w:i/>
          <w:sz w:val="24"/>
        </w:rPr>
        <w:t>Conducted successful meetings with agencies and Congress about PGE license application and settlement with Warm Springs Tribe.  Hydro re-licensing legislation introduced; worked with industry coalition on advocacy.</w:t>
      </w:r>
    </w:p>
    <w:p>
      <w:pPr>
        <w:pStyle w:val="Normal"/>
        <w:rPr>
          <w:sz w:val="24"/>
        </w:rPr>
      </w:pPr>
      <w:r>
        <w:rPr>
          <w:sz w:val="24"/>
        </w:rPr>
        <w:t xml:space="preserve"> </w:t>
      </w:r>
    </w:p>
    <w:p>
      <w:pPr>
        <w:pStyle w:val="Normal"/>
        <w:numPr>
          <w:ilvl w:val="0"/>
          <w:numId w:val="0"/>
        </w:numPr>
        <w:ind w:hanging="0" w:start="0"/>
        <w:rPr>
          <w:sz w:val="24"/>
        </w:rPr>
      </w:pPr>
      <w:r>
        <w:rPr>
          <w:sz w:val="24"/>
        </w:rPr>
      </w:r>
    </w:p>
    <w:p>
      <w:pPr>
        <w:pStyle w:val="Normal"/>
        <w:numPr>
          <w:ilvl w:val="0"/>
          <w:numId w:val="27"/>
        </w:numPr>
        <w:rPr>
          <w:sz w:val="24"/>
        </w:rPr>
      </w:pPr>
      <w:r>
        <w:rPr>
          <w:sz w:val="24"/>
        </w:rPr>
        <w:t>Support GPG negotiations with Navajo Tribe over  right-of-way renewal; liaison with Congress and federal agencies.</w:t>
      </w:r>
    </w:p>
    <w:p>
      <w:pPr>
        <w:pStyle w:val="Normal"/>
        <w:numPr>
          <w:ilvl w:val="0"/>
          <w:numId w:val="0"/>
        </w:numPr>
        <w:ind w:hanging="0" w:start="0"/>
        <w:rPr>
          <w:sz w:val="24"/>
        </w:rPr>
      </w:pPr>
      <w:r>
        <w:rPr>
          <w:sz w:val="24"/>
        </w:rPr>
      </w:r>
    </w:p>
    <w:p>
      <w:pPr>
        <w:pStyle w:val="Normal"/>
        <w:numPr>
          <w:ilvl w:val="0"/>
          <w:numId w:val="24"/>
        </w:numPr>
        <w:rPr>
          <w:sz w:val="24"/>
        </w:rPr>
      </w:pPr>
      <w:r>
        <w:rPr>
          <w:b/>
          <w:i/>
          <w:sz w:val="24"/>
        </w:rPr>
        <w:t xml:space="preserve">Meetings with federal agencies scheduled in 1999; Congress in 2000. </w:t>
      </w:r>
    </w:p>
    <w:p>
      <w:pPr>
        <w:pStyle w:val="Normal"/>
        <w:rPr>
          <w:sz w:val="24"/>
        </w:rPr>
      </w:pPr>
      <w:r>
        <w:rPr>
          <w:sz w:val="24"/>
        </w:rPr>
      </w:r>
    </w:p>
    <w:p>
      <w:pPr>
        <w:pStyle w:val="Normal"/>
        <w:numPr>
          <w:ilvl w:val="0"/>
          <w:numId w:val="0"/>
        </w:numPr>
        <w:ind w:hanging="0" w:start="0"/>
        <w:rPr>
          <w:sz w:val="24"/>
        </w:rPr>
      </w:pPr>
      <w:r>
        <w:rPr>
          <w:sz w:val="24"/>
        </w:rPr>
      </w:r>
      <w:r>
        <w:br w:type="page"/>
      </w:r>
    </w:p>
    <w:p>
      <w:pPr>
        <w:pStyle w:val="Normal"/>
        <w:numPr>
          <w:ilvl w:val="0"/>
          <w:numId w:val="27"/>
        </w:numPr>
        <w:rPr>
          <w:sz w:val="24"/>
        </w:rPr>
      </w:pPr>
      <w:r>
        <w:rPr>
          <w:sz w:val="24"/>
        </w:rPr>
        <w:t>In support of FGT’s SOONER Project (CONFIDENTIAL), work with U.S. Maritime Administration (MARAD) and Congress to implement reforms to the MARAD loan guarantee program which would mitigate the potential competitive disadvantage to oil pipelines from tankers (without jeopardizing Enron’s use of MARAD loan guarantees in power barge projects).  Prefer special funding to Sooner for environmental demonstration.</w:t>
      </w:r>
    </w:p>
    <w:p>
      <w:pPr>
        <w:pStyle w:val="Normal"/>
        <w:numPr>
          <w:ilvl w:val="0"/>
          <w:numId w:val="0"/>
        </w:numPr>
        <w:ind w:hanging="0" w:start="0"/>
        <w:rPr>
          <w:sz w:val="24"/>
        </w:rPr>
      </w:pPr>
      <w:r>
        <w:rPr>
          <w:sz w:val="24"/>
        </w:rPr>
      </w:r>
    </w:p>
    <w:p>
      <w:pPr>
        <w:pStyle w:val="Normal"/>
        <w:numPr>
          <w:ilvl w:val="0"/>
          <w:numId w:val="55"/>
        </w:numPr>
        <w:rPr>
          <w:b/>
          <w:i/>
          <w:i/>
          <w:sz w:val="24"/>
        </w:rPr>
      </w:pPr>
      <w:r>
        <w:rPr>
          <w:b/>
          <w:i/>
          <w:sz w:val="24"/>
        </w:rPr>
        <w:t>SOONER Project tabled; no additional support from Washington office requested.</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 xml:space="preserve">Work on nuclear power issues including:  special legislation to allow one-time land transfer in exchange for cooling tower removal, Price Anderson Act Reauthorization, NRC approval, and permanent waste debate.  </w:t>
      </w:r>
    </w:p>
    <w:p>
      <w:pPr>
        <w:pStyle w:val="Normal"/>
        <w:numPr>
          <w:ilvl w:val="0"/>
          <w:numId w:val="0"/>
        </w:numPr>
        <w:ind w:hanging="0" w:start="0"/>
        <w:rPr>
          <w:sz w:val="24"/>
        </w:rPr>
      </w:pPr>
      <w:r>
        <w:rPr>
          <w:sz w:val="24"/>
        </w:rPr>
      </w:r>
    </w:p>
    <w:p>
      <w:pPr>
        <w:pStyle w:val="Normal"/>
        <w:numPr>
          <w:ilvl w:val="0"/>
          <w:numId w:val="22"/>
        </w:numPr>
        <w:rPr>
          <w:b/>
          <w:i/>
          <w:i/>
          <w:sz w:val="24"/>
        </w:rPr>
      </w:pPr>
      <w:r>
        <w:rPr>
          <w:b/>
          <w:i/>
          <w:sz w:val="24"/>
        </w:rPr>
        <w:t>Successful in gaining NRC approval for single vessel removal of Trojan reactor.  Strategy for land transfer legislation developed.  Monitored pending nuclear repository legislation.</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Pass legislation or FERC regulation to permit offshore transmission lines to be treated as gathering lines (rather than pipelines regulated by FERC) and establish a complaint process for all pipelines under the Outer Continental Shelf (OCS) Lands Act.</w:t>
      </w:r>
    </w:p>
    <w:p>
      <w:pPr>
        <w:pStyle w:val="Normal"/>
        <w:numPr>
          <w:ilvl w:val="0"/>
          <w:numId w:val="0"/>
        </w:numPr>
        <w:ind w:hanging="0" w:start="0"/>
        <w:rPr>
          <w:sz w:val="24"/>
        </w:rPr>
      </w:pPr>
      <w:r>
        <w:rPr>
          <w:sz w:val="24"/>
        </w:rPr>
      </w:r>
    </w:p>
    <w:p>
      <w:pPr>
        <w:pStyle w:val="Normal"/>
        <w:numPr>
          <w:ilvl w:val="0"/>
          <w:numId w:val="32"/>
        </w:numPr>
        <w:rPr>
          <w:b/>
          <w:i/>
          <w:i/>
          <w:sz w:val="24"/>
        </w:rPr>
      </w:pPr>
      <w:r>
        <w:rPr>
          <w:b/>
          <w:i/>
          <w:sz w:val="24"/>
        </w:rPr>
        <w:t>Federal Appeals Court remanded decision to FERC, where regulatory decision is pending.</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Streamline and expedite the way federal agencies do NEPA environmental reviews during construction of pipeline, hydropower, water, or other infrastructure projects.  Supplement efforts with INGAA study, proposed for 1999.</w:t>
      </w:r>
    </w:p>
    <w:p>
      <w:pPr>
        <w:pStyle w:val="Normal"/>
        <w:numPr>
          <w:ilvl w:val="0"/>
          <w:numId w:val="0"/>
        </w:numPr>
        <w:ind w:hanging="0" w:start="0"/>
        <w:rPr>
          <w:sz w:val="24"/>
        </w:rPr>
      </w:pPr>
      <w:r>
        <w:rPr>
          <w:sz w:val="24"/>
        </w:rPr>
      </w:r>
    </w:p>
    <w:p>
      <w:pPr>
        <w:pStyle w:val="BodyText2"/>
        <w:numPr>
          <w:ilvl w:val="0"/>
          <w:numId w:val="53"/>
        </w:numPr>
        <w:rPr/>
      </w:pPr>
      <w:r>
        <w:rPr/>
        <w:t>Enron proposal for NEPA study accepted by INGAA foundation and technical support provided to Congress for oversight hearings.</w:t>
      </w:r>
    </w:p>
    <w:p>
      <w:pPr>
        <w:pStyle w:val="BodyText2"/>
        <w:rPr/>
      </w:pPr>
      <w:r>
        <w:rPr/>
      </w:r>
    </w:p>
    <w:p>
      <w:pPr>
        <w:pStyle w:val="BodyText2"/>
        <w:rPr/>
      </w:pPr>
      <w:r>
        <w:rPr/>
      </w:r>
    </w:p>
    <w:p>
      <w:pPr>
        <w:pStyle w:val="Normal"/>
        <w:numPr>
          <w:ilvl w:val="0"/>
          <w:numId w:val="27"/>
        </w:numPr>
        <w:rPr>
          <w:sz w:val="24"/>
        </w:rPr>
      </w:pPr>
      <w:r>
        <w:rPr>
          <w:sz w:val="24"/>
        </w:rPr>
        <w:t>Work with Congress and resource agencies toward development of oil/gas projects on federal lands.  Provide liaison with environmental community and Congress to highlight the advantages Enron brings as a “green” company and steward of the environment.</w:t>
      </w:r>
    </w:p>
    <w:p>
      <w:pPr>
        <w:pStyle w:val="Normal"/>
        <w:numPr>
          <w:ilvl w:val="0"/>
          <w:numId w:val="0"/>
        </w:numPr>
        <w:ind w:hanging="0" w:start="0"/>
        <w:rPr>
          <w:sz w:val="24"/>
        </w:rPr>
      </w:pPr>
      <w:r>
        <w:rPr>
          <w:sz w:val="24"/>
        </w:rPr>
      </w:r>
    </w:p>
    <w:p>
      <w:pPr>
        <w:pStyle w:val="Normal"/>
        <w:numPr>
          <w:ilvl w:val="0"/>
          <w:numId w:val="2"/>
        </w:numPr>
        <w:rPr>
          <w:sz w:val="24"/>
        </w:rPr>
      </w:pPr>
      <w:r>
        <w:rPr>
          <w:b/>
          <w:i/>
          <w:sz w:val="24"/>
        </w:rPr>
        <w:t>Information about opportunities forwarded to Enron Federal Solutions for consideration.</w:t>
      </w:r>
    </w:p>
    <w:p>
      <w:pPr>
        <w:pStyle w:val="Normal"/>
        <w:rPr>
          <w:b/>
          <w:i/>
          <w:i/>
          <w:sz w:val="24"/>
        </w:rPr>
      </w:pPr>
      <w:r>
        <w:rPr>
          <w:b/>
          <w:i/>
          <w:sz w:val="24"/>
        </w:rPr>
      </w:r>
    </w:p>
    <w:p>
      <w:pPr>
        <w:pStyle w:val="Normal"/>
        <w:rPr>
          <w:sz w:val="24"/>
        </w:rPr>
      </w:pPr>
      <w:r>
        <w:rPr>
          <w:sz w:val="24"/>
        </w:rPr>
        <w:t xml:space="preserve"> </w:t>
      </w:r>
      <w:r>
        <w:br w:type="page"/>
      </w:r>
    </w:p>
    <w:p>
      <w:pPr>
        <w:pStyle w:val="Normal"/>
        <w:numPr>
          <w:ilvl w:val="0"/>
          <w:numId w:val="27"/>
        </w:numPr>
        <w:rPr>
          <w:sz w:val="24"/>
        </w:rPr>
      </w:pPr>
      <w:r>
        <w:rPr>
          <w:sz w:val="24"/>
        </w:rPr>
        <w:t>Continue ongoing education efforts with Congress on FERC’s efforts to move toward greater competition by modernizing regulation in areas such as treatment of gas pipelines on the outer continental shelf, removing price caps on the short term markets, providing pipelines the ability to negotiate terms and conditions.</w:t>
      </w:r>
    </w:p>
    <w:p>
      <w:pPr>
        <w:pStyle w:val="Normal"/>
        <w:numPr>
          <w:ilvl w:val="0"/>
          <w:numId w:val="0"/>
        </w:numPr>
        <w:ind w:hanging="0" w:start="0"/>
        <w:rPr>
          <w:sz w:val="24"/>
        </w:rPr>
      </w:pPr>
      <w:r>
        <w:rPr>
          <w:sz w:val="24"/>
        </w:rPr>
      </w:r>
    </w:p>
    <w:p>
      <w:pPr>
        <w:pStyle w:val="Normal"/>
        <w:numPr>
          <w:ilvl w:val="0"/>
          <w:numId w:val="63"/>
        </w:numPr>
        <w:rPr>
          <w:b/>
          <w:i/>
          <w:i/>
          <w:sz w:val="24"/>
        </w:rPr>
      </w:pPr>
      <w:r>
        <w:rPr>
          <w:b/>
          <w:i/>
          <w:sz w:val="24"/>
        </w:rPr>
        <w:t>Mostly regulatory interest.</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 xml:space="preserve">Monitor and analyze legislation on environmental issues such as Superfund, RCRA, clean water, wetlands, clean air, endangered species, and regulatory reform to look for opportunities for amendments or improvements that would benefit Enron and industry.  </w:t>
      </w:r>
    </w:p>
    <w:p>
      <w:pPr>
        <w:pStyle w:val="Normal"/>
        <w:numPr>
          <w:ilvl w:val="0"/>
          <w:numId w:val="0"/>
        </w:numPr>
        <w:ind w:hanging="0" w:start="0"/>
        <w:rPr>
          <w:sz w:val="24"/>
        </w:rPr>
      </w:pPr>
      <w:r>
        <w:rPr>
          <w:sz w:val="24"/>
        </w:rPr>
      </w:r>
    </w:p>
    <w:p>
      <w:pPr>
        <w:pStyle w:val="Normal"/>
        <w:numPr>
          <w:ilvl w:val="0"/>
          <w:numId w:val="29"/>
        </w:numPr>
        <w:rPr>
          <w:b/>
          <w:i/>
          <w:i/>
          <w:sz w:val="24"/>
        </w:rPr>
      </w:pPr>
      <w:r>
        <w:rPr>
          <w:b/>
          <w:i/>
          <w:sz w:val="24"/>
        </w:rPr>
        <w:t>Successfully amended House Commerce Committee Superfund bill with pipeline language and enacted Wetlands permit language in appropriations legislation.</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Support Enron Federal Solutions, Inc. by assisting with meetings and contacts with key policy makers; introduce legislative amendments as necessary to enable goal achievement.</w:t>
      </w:r>
    </w:p>
    <w:p>
      <w:pPr>
        <w:pStyle w:val="Normal"/>
        <w:numPr>
          <w:ilvl w:val="0"/>
          <w:numId w:val="0"/>
        </w:numPr>
        <w:ind w:hanging="0" w:start="0"/>
        <w:rPr>
          <w:sz w:val="24"/>
        </w:rPr>
      </w:pPr>
      <w:r>
        <w:rPr>
          <w:sz w:val="24"/>
        </w:rPr>
      </w:r>
    </w:p>
    <w:p>
      <w:pPr>
        <w:pStyle w:val="Normal"/>
        <w:numPr>
          <w:ilvl w:val="0"/>
          <w:numId w:val="3"/>
        </w:numPr>
        <w:rPr>
          <w:b/>
          <w:i/>
          <w:i/>
          <w:sz w:val="24"/>
        </w:rPr>
      </w:pPr>
      <w:r>
        <w:rPr>
          <w:b/>
          <w:i/>
          <w:sz w:val="24"/>
        </w:rPr>
        <w:t>Arranged meetings and contacts with key policymakers; enacted a legislative amendment extending the federal maximum contract term to 50 years.  Secured letters and contacts from members of Congress to support competition in several bids.</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Continue ongoing work on legislation and regulation regarding pipeline safety reauthorization, user fees, demonstration projects, improvements to state “one-call” systems, and other safety measures. Assure incident in Florida does not cause legislative reprises.</w:t>
      </w:r>
    </w:p>
    <w:p>
      <w:pPr>
        <w:pStyle w:val="Normal"/>
        <w:numPr>
          <w:ilvl w:val="0"/>
          <w:numId w:val="0"/>
        </w:numPr>
        <w:ind w:hanging="0" w:start="0"/>
        <w:rPr>
          <w:sz w:val="24"/>
        </w:rPr>
      </w:pPr>
      <w:r>
        <w:rPr>
          <w:sz w:val="24"/>
        </w:rPr>
      </w:r>
    </w:p>
    <w:p>
      <w:pPr>
        <w:pStyle w:val="Normal"/>
        <w:numPr>
          <w:ilvl w:val="0"/>
          <w:numId w:val="47"/>
        </w:numPr>
        <w:rPr>
          <w:b/>
          <w:i/>
          <w:i/>
          <w:sz w:val="24"/>
        </w:rPr>
      </w:pPr>
      <w:r>
        <w:rPr>
          <w:b/>
          <w:i/>
          <w:sz w:val="24"/>
        </w:rPr>
        <w:t>Legislation providing a two-year reauthorization legislation for pipeline safety programs passed the House Commerce Committee.  Enacted appropriations language for level funding of user fees.  Worked to mitigate the FGT accident in north Florida.</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 xml:space="preserve">Work to ensure that any health care legislation does NOT include increases in employer liabilities beyond current ERISA regulations, loss of employer tax deduction for health care expenses, or significant increases in health care cost to the employer to achieve compliance costs. </w:t>
      </w:r>
    </w:p>
    <w:p>
      <w:pPr>
        <w:pStyle w:val="Normal"/>
        <w:numPr>
          <w:ilvl w:val="0"/>
          <w:numId w:val="0"/>
        </w:numPr>
        <w:ind w:hanging="0" w:start="0"/>
        <w:rPr>
          <w:sz w:val="24"/>
        </w:rPr>
      </w:pPr>
      <w:r>
        <w:rPr>
          <w:sz w:val="24"/>
        </w:rPr>
      </w:r>
    </w:p>
    <w:p>
      <w:pPr>
        <w:pStyle w:val="Normal"/>
        <w:numPr>
          <w:ilvl w:val="0"/>
          <w:numId w:val="25"/>
        </w:numPr>
        <w:rPr>
          <w:b/>
          <w:i/>
          <w:i/>
          <w:sz w:val="24"/>
        </w:rPr>
      </w:pPr>
      <w:r>
        <w:rPr>
          <w:b/>
          <w:i/>
          <w:sz w:val="24"/>
        </w:rPr>
        <w:t>Broad bill passed the House which would significantly increase employer liability.  A more limited version passed the Senate.  Expect 2000 Conference to defeat bill in entirety or most onerous provisions.</w:t>
      </w:r>
      <w:r>
        <w:br w:type="page"/>
      </w:r>
    </w:p>
    <w:p>
      <w:pPr>
        <w:pStyle w:val="Normal"/>
        <w:numPr>
          <w:ilvl w:val="0"/>
          <w:numId w:val="27"/>
        </w:numPr>
        <w:rPr>
          <w:sz w:val="24"/>
        </w:rPr>
      </w:pPr>
      <w:r>
        <w:rPr>
          <w:sz w:val="24"/>
        </w:rPr>
        <w:t>Monitor debate on railroad competition, privatization and open access and report to ECT.</w:t>
      </w:r>
    </w:p>
    <w:p>
      <w:pPr>
        <w:pStyle w:val="Normal"/>
        <w:numPr>
          <w:ilvl w:val="0"/>
          <w:numId w:val="0"/>
        </w:numPr>
        <w:ind w:hanging="0" w:start="0"/>
        <w:rPr>
          <w:sz w:val="24"/>
        </w:rPr>
      </w:pPr>
      <w:r>
        <w:rPr>
          <w:sz w:val="24"/>
        </w:rPr>
      </w:r>
    </w:p>
    <w:p>
      <w:pPr>
        <w:pStyle w:val="BodyText2"/>
        <w:numPr>
          <w:ilvl w:val="0"/>
          <w:numId w:val="15"/>
        </w:numPr>
        <w:rPr/>
      </w:pPr>
      <w:r>
        <w:rPr/>
        <w:t>Monitored introduced legislation and regulation on rail and coal issues.</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Follow encryption legislation.</w:t>
      </w:r>
    </w:p>
    <w:p>
      <w:pPr>
        <w:pStyle w:val="Normal"/>
        <w:numPr>
          <w:ilvl w:val="0"/>
          <w:numId w:val="0"/>
        </w:numPr>
        <w:ind w:hanging="0" w:start="0"/>
        <w:rPr>
          <w:sz w:val="24"/>
        </w:rPr>
      </w:pPr>
      <w:r>
        <w:rPr>
          <w:sz w:val="24"/>
        </w:rPr>
      </w:r>
    </w:p>
    <w:p>
      <w:pPr>
        <w:pStyle w:val="Normal"/>
        <w:numPr>
          <w:ilvl w:val="0"/>
          <w:numId w:val="44"/>
        </w:numPr>
        <w:rPr>
          <w:b/>
          <w:i/>
          <w:i/>
          <w:sz w:val="24"/>
        </w:rPr>
      </w:pPr>
      <w:r>
        <w:rPr>
          <w:b/>
          <w:i/>
          <w:sz w:val="24"/>
        </w:rPr>
        <w:t>Followed encryption legislation, separate bills passed House and Senate.  The Executive Branch adopted regulations.</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 xml:space="preserve">Closely monitor Year 2000 (Y2K) Compliance legislation, and report back to Y2K department.  Continue to seek legislative language from in-house attorneys for liability legislation. </w:t>
      </w:r>
    </w:p>
    <w:p>
      <w:pPr>
        <w:pStyle w:val="Normal"/>
        <w:numPr>
          <w:ilvl w:val="0"/>
          <w:numId w:val="0"/>
        </w:numPr>
        <w:ind w:hanging="0" w:start="0"/>
        <w:rPr>
          <w:sz w:val="24"/>
        </w:rPr>
      </w:pPr>
      <w:r>
        <w:rPr>
          <w:sz w:val="24"/>
        </w:rPr>
      </w:r>
    </w:p>
    <w:p>
      <w:pPr>
        <w:pStyle w:val="BodyText2"/>
        <w:numPr>
          <w:ilvl w:val="0"/>
          <w:numId w:val="13"/>
        </w:numPr>
        <w:rPr/>
      </w:pPr>
      <w:r>
        <w:rPr/>
        <w:t>Enacted legislation protecting companies from Y2K liability.</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Follow pension issues (ESOP and Portability) and report to Enron Corp. and PGE.</w:t>
      </w:r>
    </w:p>
    <w:p>
      <w:pPr>
        <w:pStyle w:val="Normal"/>
        <w:numPr>
          <w:ilvl w:val="0"/>
          <w:numId w:val="0"/>
        </w:numPr>
        <w:ind w:hanging="0" w:start="0"/>
        <w:rPr>
          <w:sz w:val="24"/>
        </w:rPr>
      </w:pPr>
      <w:r>
        <w:rPr>
          <w:sz w:val="24"/>
        </w:rPr>
      </w:r>
    </w:p>
    <w:p>
      <w:pPr>
        <w:pStyle w:val="Normal"/>
        <w:numPr>
          <w:ilvl w:val="0"/>
          <w:numId w:val="17"/>
        </w:numPr>
        <w:rPr>
          <w:b/>
          <w:i/>
          <w:i/>
          <w:sz w:val="24"/>
        </w:rPr>
      </w:pPr>
      <w:r>
        <w:rPr>
          <w:b/>
          <w:i/>
          <w:sz w:val="24"/>
        </w:rPr>
        <w:t>Continued to monitor as needed.</w:t>
      </w:r>
    </w:p>
    <w:p>
      <w:pPr>
        <w:pStyle w:val="Normal"/>
        <w:numPr>
          <w:ilvl w:val="0"/>
          <w:numId w:val="0"/>
        </w:numPr>
        <w:ind w:hanging="0" w:start="0"/>
        <w:rPr>
          <w:b/>
          <w:i/>
          <w:i/>
          <w:sz w:val="24"/>
        </w:rPr>
      </w:pPr>
      <w:r>
        <w:rPr>
          <w:b/>
          <w:i/>
          <w:sz w:val="24"/>
        </w:rPr>
      </w:r>
    </w:p>
    <w:p>
      <w:pPr>
        <w:pStyle w:val="Normal"/>
        <w:numPr>
          <w:ilvl w:val="0"/>
          <w:numId w:val="0"/>
        </w:numPr>
        <w:ind w:hanging="0" w:start="0"/>
        <w:rPr>
          <w:sz w:val="24"/>
        </w:rPr>
      </w:pPr>
      <w:r>
        <w:rPr>
          <w:sz w:val="24"/>
        </w:rPr>
      </w:r>
    </w:p>
    <w:p>
      <w:pPr>
        <w:pStyle w:val="Normal"/>
        <w:numPr>
          <w:ilvl w:val="0"/>
          <w:numId w:val="27"/>
        </w:numPr>
        <w:rPr>
          <w:sz w:val="24"/>
        </w:rPr>
      </w:pPr>
      <w:r>
        <w:rPr>
          <w:sz w:val="24"/>
        </w:rPr>
        <w:t>Closely follow OSHA reform legislation.</w:t>
      </w:r>
    </w:p>
    <w:p>
      <w:pPr>
        <w:pStyle w:val="Normal"/>
        <w:rPr>
          <w:sz w:val="24"/>
        </w:rPr>
      </w:pPr>
      <w:r>
        <w:rPr>
          <w:sz w:val="24"/>
        </w:rPr>
      </w:r>
    </w:p>
    <w:p>
      <w:pPr>
        <w:pStyle w:val="Normal"/>
        <w:numPr>
          <w:ilvl w:val="0"/>
          <w:numId w:val="51"/>
        </w:numPr>
        <w:rPr>
          <w:b/>
          <w:i/>
          <w:i/>
          <w:sz w:val="24"/>
        </w:rPr>
      </w:pPr>
      <w:r>
        <w:rPr>
          <w:b/>
          <w:i/>
          <w:sz w:val="24"/>
        </w:rPr>
        <w:t>Followed OSHA reform legislation and OSHA’s proposed ergonomics rule – with possible severe impacts on industry.  Incorporated Enron suggestions into industry proposals.</w:t>
      </w:r>
      <w:r>
        <w:br w:type="page"/>
      </w:r>
    </w:p>
    <w:p>
      <w:pPr>
        <w:pStyle w:val="Heading"/>
        <w:spacing w:lineRule="auto" w:line="240"/>
        <w:rPr>
          <w:b w:val="false"/>
          <w:i/>
          <w:i/>
          <w:sz w:val="24"/>
        </w:rPr>
      </w:pPr>
      <w:r>
        <w:rPr>
          <w:b w:val="false"/>
          <w:i/>
          <w:sz w:val="24"/>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Normal"/>
        <w:jc w:val="center"/>
        <w:rPr>
          <w:b/>
          <w:color w:val="000000"/>
          <w:sz w:val="40"/>
          <w:lang w:eastAsia="en-US"/>
        </w:rPr>
      </w:pPr>
      <w:r>
        <w:rPr>
          <w:b/>
          <w:color w:val="000000"/>
          <w:sz w:val="40"/>
          <w:lang w:eastAsia="en-US"/>
        </w:rPr>
        <w:t>C.</w:t>
      </w:r>
    </w:p>
    <w:p>
      <w:pPr>
        <w:pStyle w:val="Normal"/>
        <w:jc w:val="center"/>
        <w:rPr>
          <w:b/>
          <w:color w:val="000000"/>
          <w:sz w:val="40"/>
          <w:lang w:eastAsia="en-US"/>
        </w:rPr>
      </w:pPr>
      <w:r>
        <w:rPr>
          <w:b/>
          <w:color w:val="000000"/>
          <w:sz w:val="40"/>
          <w:lang w:eastAsia="en-US"/>
        </w:rPr>
      </w:r>
    </w:p>
    <w:p>
      <w:pPr>
        <w:pStyle w:val="Normal"/>
        <w:jc w:val="center"/>
        <w:rPr>
          <w:b/>
          <w:color w:val="000000"/>
          <w:sz w:val="40"/>
          <w:lang w:eastAsia="en-US"/>
        </w:rPr>
      </w:pPr>
      <w:r>
        <w:rPr>
          <w:b/>
          <w:color w:val="000000"/>
          <w:sz w:val="40"/>
          <w:lang w:eastAsia="en-US"/>
        </w:rPr>
        <w:t>1999 International Accomplishments</w:t>
      </w:r>
      <w:r>
        <w:br w:type="page"/>
      </w:r>
    </w:p>
    <w:p>
      <w:pPr>
        <w:pStyle w:val="Normal"/>
        <w:jc w:val="center"/>
        <w:rPr/>
      </w:pPr>
      <w:r>
        <w:rPr>
          <w:b/>
          <w:color w:val="000000"/>
          <w:sz w:val="24"/>
          <w:lang w:eastAsia="en-US"/>
        </w:rPr>
        <w:t xml:space="preserve">1999 </w:t>
      </w:r>
      <w:r>
        <w:rPr>
          <w:b/>
          <w:sz w:val="24"/>
        </w:rPr>
        <w:t>International Accomplishments</w:t>
      </w:r>
    </w:p>
    <w:p>
      <w:pPr>
        <w:pStyle w:val="Normal"/>
        <w:rPr>
          <w:b/>
          <w:sz w:val="24"/>
        </w:rPr>
      </w:pPr>
      <w:r>
        <w:rPr>
          <w:b/>
          <w:sz w:val="24"/>
        </w:rPr>
      </w:r>
    </w:p>
    <w:p>
      <w:pPr>
        <w:pStyle w:val="Normal"/>
        <w:numPr>
          <w:ilvl w:val="0"/>
          <w:numId w:val="19"/>
        </w:numPr>
        <w:spacing w:before="0" w:after="120"/>
        <w:rPr>
          <w:sz w:val="24"/>
        </w:rPr>
      </w:pPr>
      <w:r>
        <w:rPr>
          <w:sz w:val="24"/>
        </w:rPr>
        <w:t>Economic sanctions on India were waived by Presidential order on October 27, 1999.  Authority for the Presidential order was established when Congress passed the Defense Appropriations bill giving the President permanent waiver authority. Enron chaired the sanctions subcommittee of the US India Business Council and was commended in a letter from India Ambassador Chandra.  A more comprehensive legislative policy regarding economic trade sanctions is expected to be considered in 2000.</w:t>
      </w:r>
    </w:p>
    <w:p>
      <w:pPr>
        <w:pStyle w:val="Normal"/>
        <w:numPr>
          <w:ilvl w:val="0"/>
          <w:numId w:val="6"/>
        </w:numPr>
        <w:spacing w:before="0" w:after="120"/>
        <w:rPr>
          <w:sz w:val="24"/>
        </w:rPr>
      </w:pPr>
      <w:r>
        <w:rPr>
          <w:sz w:val="24"/>
        </w:rPr>
        <w:t>OPIC Reauthorization, Ex-Im, OPIC and TDA appropriations successfully passed and signed into law.  A significant effort to codify extraordinary environmental review language from four existing regulations was defeated.</w:t>
      </w:r>
    </w:p>
    <w:p>
      <w:pPr>
        <w:pStyle w:val="Normal"/>
        <w:numPr>
          <w:ilvl w:val="0"/>
          <w:numId w:val="43"/>
        </w:numPr>
        <w:spacing w:before="0" w:after="120"/>
        <w:rPr>
          <w:sz w:val="24"/>
        </w:rPr>
      </w:pPr>
      <w:r>
        <w:rPr>
          <w:sz w:val="24"/>
        </w:rPr>
        <w:t>This office was active as a supporting organization to then Enron International making appointments and contacts in the Executive and Legislative Branches to support OPIC funding for the Cuiaba project.</w:t>
      </w:r>
    </w:p>
    <w:p>
      <w:pPr>
        <w:pStyle w:val="Normal"/>
        <w:numPr>
          <w:ilvl w:val="0"/>
          <w:numId w:val="48"/>
        </w:numPr>
        <w:spacing w:before="0" w:after="120"/>
        <w:rPr>
          <w:sz w:val="24"/>
        </w:rPr>
      </w:pPr>
      <w:r>
        <w:rPr>
          <w:sz w:val="24"/>
        </w:rPr>
        <w:t>Enron was active in the successful effort to defeat the petition of the “Save Our Domestic Industry” which attempted to have the USG impose penalties on Mexico, Venezuela and Saudi Arabia imports.  Enron was thanked by representatives of those governments and by Secretary Richardson.</w:t>
      </w:r>
    </w:p>
    <w:p>
      <w:pPr>
        <w:pStyle w:val="Normal"/>
        <w:numPr>
          <w:ilvl w:val="0"/>
          <w:numId w:val="41"/>
        </w:numPr>
        <w:spacing w:before="0" w:after="120"/>
        <w:rPr>
          <w:sz w:val="24"/>
        </w:rPr>
      </w:pPr>
      <w:r>
        <w:rPr>
          <w:sz w:val="24"/>
        </w:rPr>
        <w:t>Burton Amendment and other anti-India provisions were defeated or withdrawn.  We worked closely with the Indian Embassy and the US India Business Council in this successful effort.</w:t>
      </w:r>
    </w:p>
    <w:p>
      <w:pPr>
        <w:pStyle w:val="Normal"/>
        <w:numPr>
          <w:ilvl w:val="0"/>
          <w:numId w:val="20"/>
        </w:numPr>
        <w:spacing w:before="0" w:after="120"/>
        <w:rPr>
          <w:sz w:val="24"/>
        </w:rPr>
      </w:pPr>
      <w:r>
        <w:rPr>
          <w:sz w:val="24"/>
        </w:rPr>
        <w:t>Africa Growth and Opportunity Act and Caribbean Basin Initiative legislation passed the House and Senate.  Enron’s efforts along with Citigroup have been recognized as being instrumental to provide leadership for enactment.  The bill is still pending in Conference with enactment expected early 2000.  Bill includes TAA Carribean Basin Initiative and GSP.  Plus includes TAA Trojan amendment worth $2 million to Enron.</w:t>
      </w:r>
    </w:p>
    <w:p>
      <w:pPr>
        <w:pStyle w:val="Normal"/>
        <w:numPr>
          <w:ilvl w:val="0"/>
          <w:numId w:val="60"/>
        </w:numPr>
        <w:spacing w:before="0" w:after="120"/>
        <w:rPr>
          <w:sz w:val="24"/>
        </w:rPr>
      </w:pPr>
      <w:r>
        <w:rPr>
          <w:sz w:val="24"/>
        </w:rPr>
        <w:t>Normal Trade Relations extension for China legislation passed the Congress and was signed into law.  Enron was an active participant in the lobbying effort.</w:t>
      </w:r>
    </w:p>
    <w:p>
      <w:pPr>
        <w:pStyle w:val="Normal"/>
        <w:numPr>
          <w:ilvl w:val="0"/>
          <w:numId w:val="23"/>
        </w:numPr>
        <w:spacing w:before="0" w:after="120"/>
        <w:rPr>
          <w:sz w:val="24"/>
        </w:rPr>
      </w:pPr>
      <w:r>
        <w:rPr>
          <w:sz w:val="24"/>
        </w:rPr>
        <w:t>Pro-Taiwan legislation to provide certain arms sales to Taiwan that was vigorously opposed by China (the Chinese Ambassador visited Ken Lay and Joe Sutton in Houston) was temporarily held up despite strong support for it.  Enron was active in working with Congressman Drier and Congressman Bereuter in supporting the delay.  This will be an issue for 2000.</w:t>
      </w:r>
    </w:p>
    <w:p>
      <w:pPr>
        <w:pStyle w:val="Normal"/>
        <w:numPr>
          <w:ilvl w:val="0"/>
          <w:numId w:val="10"/>
        </w:numPr>
        <w:spacing w:before="0" w:after="120"/>
        <w:rPr>
          <w:sz w:val="24"/>
        </w:rPr>
      </w:pPr>
      <w:r>
        <w:rPr>
          <w:sz w:val="24"/>
        </w:rPr>
        <w:t>US Bolivia Business Partnership was organized this year with Enron as the prime organizer.  Enron also organized a recent group visit to La Paz and Santa Cruz.  Several Enron/Transredes messages were delivered to Bolivia’s Vice President Quiroga, key ministers and other officials.  We continue to provide the leadership to the organization.</w:t>
      </w:r>
    </w:p>
    <w:p>
      <w:pPr>
        <w:pStyle w:val="Normal"/>
        <w:numPr>
          <w:ilvl w:val="0"/>
          <w:numId w:val="34"/>
        </w:numPr>
        <w:spacing w:before="0" w:after="120"/>
        <w:rPr>
          <w:sz w:val="24"/>
        </w:rPr>
      </w:pPr>
      <w:r>
        <w:rPr>
          <w:sz w:val="24"/>
        </w:rPr>
        <w:t>US-WTO Energy Services Coalition was also organized this year with Enron in the Chairmanship.  This is a three or more year effort hopefully leading to agreement among the 135 member nations to liberalize access to energy markets.  It is an extension to Enron’s efforts in APEC.</w:t>
      </w:r>
    </w:p>
    <w:p>
      <w:pPr>
        <w:pStyle w:val="Normal"/>
        <w:numPr>
          <w:ilvl w:val="0"/>
          <w:numId w:val="59"/>
        </w:numPr>
        <w:spacing w:before="0" w:after="120"/>
        <w:rPr>
          <w:sz w:val="24"/>
        </w:rPr>
      </w:pPr>
      <w:r>
        <w:rPr>
          <w:sz w:val="24"/>
        </w:rPr>
        <w:t xml:space="preserve">Special and continued assistance to our development teams responsible for Turkey, Romania, Colombia and Azerbaijan.  This has involved setting up special briefing sessions, serving on related committees/councils, direct Congressional lobbying and advising on strategy.  One example was arranging for Enron participation in Ankara and Istanbul events during President Clinton’s visit.  </w:t>
      </w:r>
    </w:p>
    <w:p>
      <w:pPr>
        <w:pStyle w:val="Normal"/>
        <w:numPr>
          <w:ilvl w:val="0"/>
          <w:numId w:val="30"/>
        </w:numPr>
        <w:spacing w:before="0" w:after="120"/>
        <w:rPr>
          <w:sz w:val="24"/>
        </w:rPr>
      </w:pPr>
      <w:r>
        <w:rPr>
          <w:sz w:val="24"/>
        </w:rPr>
        <w:t>Participation in numerous meetings, chairing events and providing policy input involving BCIU, CEE, US Chamber of Commerce International Councils, US-ASEAN, American Turkish, Asia Society, Council of the Americas, a total of approximately 30 binational, regional and global groups where Enron has current or anticipated interests.  We are frequently asked to host and chair meetings with visiting ministers and other officials which allows us to make key representations on behalf of Enron.  We are regularly asked to organize and lead different efforts and coalitions.</w:t>
      </w:r>
    </w:p>
    <w:p>
      <w:pPr>
        <w:pStyle w:val="Normal"/>
        <w:numPr>
          <w:ilvl w:val="0"/>
          <w:numId w:val="49"/>
        </w:numPr>
        <w:spacing w:before="0" w:after="120"/>
        <w:rPr>
          <w:sz w:val="24"/>
        </w:rPr>
      </w:pPr>
      <w:r>
        <w:rPr>
          <w:sz w:val="24"/>
        </w:rPr>
        <w:t>Worked with our Enron International officials on Nicaragua issues by getting US Secretary of Energy, Secretary of Commerce and Undersecretary of Commerce involved in advocacy.  We had a similar role relating to Croatia , Latvia, Korea, Saipan, the Philippines and others.</w:t>
      </w:r>
    </w:p>
    <w:p>
      <w:pPr>
        <w:pStyle w:val="Normal"/>
        <w:numPr>
          <w:ilvl w:val="0"/>
          <w:numId w:val="14"/>
        </w:numPr>
        <w:spacing w:before="0" w:after="120"/>
        <w:rPr>
          <w:sz w:val="24"/>
        </w:rPr>
      </w:pPr>
      <w:r>
        <w:rPr>
          <w:sz w:val="24"/>
        </w:rPr>
        <w:t>Worked with our London office to brief USG and Italian Washington Embassy on our Saralux project.  The end result was getting the Italian regulatory authority to honor their tariff commitment.</w:t>
      </w:r>
    </w:p>
    <w:p>
      <w:pPr>
        <w:pStyle w:val="Normal"/>
        <w:numPr>
          <w:ilvl w:val="0"/>
          <w:numId w:val="38"/>
        </w:numPr>
        <w:spacing w:before="0" w:after="120"/>
        <w:rPr>
          <w:sz w:val="24"/>
        </w:rPr>
      </w:pPr>
      <w:r>
        <w:rPr>
          <w:sz w:val="24"/>
        </w:rPr>
        <w:t>Puerto Rico legislation was not considered by the Ways and Means Committee but Enron actively sent excellent communications to Capitol Hill, made Congressional contacts and worked closely with David Haug and his team in preparing materials and executing strategy.  The Government of Puerto Rico and their Washington counsel recognized the Enron effort.</w:t>
      </w:r>
    </w:p>
    <w:p>
      <w:pPr>
        <w:pStyle w:val="Normal"/>
        <w:numPr>
          <w:ilvl w:val="0"/>
          <w:numId w:val="54"/>
        </w:numPr>
        <w:spacing w:before="0" w:after="120"/>
        <w:rPr>
          <w:sz w:val="24"/>
        </w:rPr>
      </w:pPr>
      <w:r>
        <w:rPr>
          <w:sz w:val="24"/>
        </w:rPr>
        <w:t>US Chamber of Commerce events with the Presidents of Colombia, Brazil and Romania were co-sponsored by Enron allowing top Enron officials to be included in the VIP receptions, seated at the head tables and to be recognized for being a prime sponsor.  Additionally, we hosted a separate table with officials from the visiting government and other USG VIP’s.</w:t>
      </w:r>
    </w:p>
    <w:p>
      <w:pPr>
        <w:pStyle w:val="Normal"/>
        <w:numPr>
          <w:ilvl w:val="0"/>
          <w:numId w:val="54"/>
        </w:numPr>
        <w:spacing w:before="0" w:after="120"/>
        <w:rPr>
          <w:sz w:val="24"/>
        </w:rPr>
      </w:pPr>
      <w:r>
        <w:rPr>
          <w:sz w:val="24"/>
        </w:rPr>
        <w:t>Support EOG Devi project with the Smithsonian.</w:t>
      </w:r>
      <w:r>
        <w:br w:type="page"/>
      </w:r>
    </w:p>
    <w:p>
      <w:pPr>
        <w:pStyle w:val="Heading"/>
        <w:spacing w:lineRule="auto" w:line="240"/>
        <w:rPr>
          <w:b w:val="false"/>
          <w:sz w:val="24"/>
        </w:rPr>
      </w:pPr>
      <w:r>
        <w:rPr>
          <w:b w:val="false"/>
          <w:sz w:val="24"/>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Normal"/>
        <w:jc w:val="center"/>
        <w:rPr>
          <w:b/>
          <w:color w:val="000000"/>
          <w:sz w:val="40"/>
          <w:lang w:eastAsia="en-US"/>
        </w:rPr>
      </w:pPr>
      <w:r>
        <w:rPr>
          <w:b/>
          <w:color w:val="000000"/>
          <w:sz w:val="40"/>
          <w:lang w:eastAsia="en-US"/>
        </w:rPr>
        <w:t>D.</w:t>
      </w:r>
    </w:p>
    <w:p>
      <w:pPr>
        <w:pStyle w:val="Normal"/>
        <w:jc w:val="center"/>
        <w:rPr>
          <w:b/>
          <w:color w:val="000000"/>
          <w:sz w:val="40"/>
          <w:lang w:eastAsia="en-US"/>
        </w:rPr>
      </w:pPr>
      <w:r>
        <w:rPr>
          <w:b/>
          <w:color w:val="000000"/>
          <w:sz w:val="40"/>
          <w:lang w:eastAsia="en-US"/>
        </w:rPr>
      </w:r>
    </w:p>
    <w:p>
      <w:pPr>
        <w:pStyle w:val="Normal"/>
        <w:jc w:val="center"/>
        <w:rPr>
          <w:b/>
          <w:color w:val="000000"/>
          <w:sz w:val="40"/>
          <w:lang w:eastAsia="en-US"/>
        </w:rPr>
      </w:pPr>
      <w:r>
        <w:rPr>
          <w:b/>
          <w:color w:val="000000"/>
          <w:sz w:val="40"/>
          <w:lang w:eastAsia="en-US"/>
        </w:rPr>
        <w:t>1999 Domestic Accomplishments</w:t>
      </w:r>
      <w:r>
        <w:br w:type="page"/>
      </w:r>
    </w:p>
    <w:p>
      <w:pPr>
        <w:pStyle w:val="Normal"/>
        <w:jc w:val="center"/>
        <w:rPr>
          <w:b/>
          <w:sz w:val="24"/>
        </w:rPr>
      </w:pPr>
      <w:r>
        <w:rPr>
          <w:b/>
          <w:sz w:val="24"/>
        </w:rPr>
        <w:t>1999 Domestic Accomplishments</w:t>
      </w:r>
    </w:p>
    <w:p>
      <w:pPr>
        <w:pStyle w:val="Normal"/>
        <w:jc w:val="center"/>
        <w:rPr>
          <w:b/>
          <w:color w:val="000000"/>
          <w:sz w:val="24"/>
          <w:lang w:eastAsia="en-US"/>
        </w:rPr>
      </w:pPr>
      <w:r>
        <w:rPr>
          <w:b/>
          <w:color w:val="000000"/>
          <w:sz w:val="24"/>
          <w:lang w:eastAsia="en-US"/>
        </w:rPr>
      </w:r>
    </w:p>
    <w:p>
      <w:pPr>
        <w:pStyle w:val="Heading"/>
        <w:spacing w:lineRule="auto" w:line="240"/>
        <w:jc w:val="start"/>
        <w:rPr>
          <w:b w:val="false"/>
          <w:color w:val="000000"/>
          <w:sz w:val="24"/>
          <w:lang w:eastAsia="en-US"/>
        </w:rPr>
      </w:pPr>
      <w:r>
        <w:rPr>
          <w:b w:val="false"/>
          <w:color w:val="000000"/>
          <w:sz w:val="24"/>
          <w:lang w:eastAsia="en-US"/>
        </w:rPr>
      </w:r>
    </w:p>
    <w:p>
      <w:pPr>
        <w:pStyle w:val="Normal"/>
        <w:numPr>
          <w:ilvl w:val="0"/>
          <w:numId w:val="65"/>
        </w:numPr>
        <w:spacing w:before="0" w:after="120"/>
        <w:rPr>
          <w:sz w:val="24"/>
        </w:rPr>
      </w:pPr>
      <w:r>
        <w:rPr>
          <w:sz w:val="24"/>
        </w:rPr>
        <w:t>Passed House Energy and Power Subcommittee Electricity Competition and Reliability legislation.  Passed Senate Banking Committee PUHCA provision.  Secured introduction of favorable Administration bill, Senate companion legislation, plus drafted and introduced House bipartisan model legislation.  Wrote and advocated transmission equal access amendment.  Arranged for testimony by Enron and national coalition.  Successfully included Enron-only language on reciprocity to modify exposure in House passed bill.  Led national coalition (AAE), led NAM support, led Consumers for Fair Competition and led NRDC coalition.  Chaired AAE Message and Media Committee, and led and implemented all national coalition policy messaging, media and strategy.  Won 1999 Silver Microphone Award for AAE media advocacy.  Led several AAE press conferences.</w:t>
        <w:br/>
        <w:br/>
        <w:t>Legislation is pending before the full House Commerce Committee and the Senate Energy and Natural Resources Committee.  Expect early action in 2000 with bill enactment October 2000.  Legislation to require the Architect of the Capitol to competitively bid its energy contract for the new Capitol Visitors’ Center was not actively considered in 1999 but continues to be discussed.  Advocated on and successfully amended language dealing with competitive access to DOD facilities.  Led BPA title development with Mary Hain’s counsel.  Successfully reduced House and Senate appropriation bills’ debt limit for TVA, but were reversed in Conference due to increased available budget.  Advocated private use, aggregation, single-handedly put the issue of market power and divestiture in play, plus corrected PUHCA books and records language and put in play PUHCA hostage language.  Successfully corrected reciprocity and PURPA language.  Actively leading green labeling debate and research.  Actively led federal support role in CUBR effort.  Successfully gained Public Power, Consumer Federation and Rural Co-Op support.</w:t>
      </w:r>
    </w:p>
    <w:p>
      <w:pPr>
        <w:pStyle w:val="Normal"/>
        <w:numPr>
          <w:ilvl w:val="0"/>
          <w:numId w:val="65"/>
        </w:numPr>
        <w:spacing w:before="0" w:after="120"/>
        <w:rPr>
          <w:sz w:val="24"/>
        </w:rPr>
      </w:pPr>
      <w:r>
        <w:rPr>
          <w:sz w:val="24"/>
        </w:rPr>
        <w:t>Gave speeches on behalf of Enron electricity open market policy positions before the US Chamber of Commerce, TAPS (Transmission Access Policy Study Group), PHCC (Plumbing-Heating-Cooling Contractors), National Defense University and Enron State Affairs.</w:t>
      </w:r>
    </w:p>
    <w:p>
      <w:pPr>
        <w:pStyle w:val="Normal"/>
        <w:numPr>
          <w:ilvl w:val="0"/>
          <w:numId w:val="65"/>
        </w:numPr>
        <w:spacing w:before="0" w:after="120"/>
        <w:rPr>
          <w:sz w:val="24"/>
        </w:rPr>
      </w:pPr>
      <w:r>
        <w:rPr>
          <w:sz w:val="24"/>
        </w:rPr>
        <w:t>Continued work with Congress and regulators on preventing additional regulation of energy derivatives.   Successful in maintaining light-handed regulatory treatment of energy derivatives by the CFTC through education of CFTC, Congress and other regulators.  Built and maintained positive relationships with members and staff on jurisdictional committees in Congress and with federal regulators.  Arranged meetings) for Enron executives with key members of Congress and financial regulators (all CFTC Commissioners, CFTC staff, Treasury department, FED and SEC officials.  Conducted tours of Enron’s trading operations in Houston for key members of Congress and CFTC commissioners including House Agriculture Committee Chairman Combest, Ranking Congressman Stenholm and CFTC Commissioner Newsome.  Successfully mitigated potentially damaging comments by Treasury about Enron and possible regulation of derivatives dealers.  Advocated against any additional regulatory requirements for energy derivatives dealers, particularly in the context of a November 1999 report by the President’s Working Group on Financial Markets (PWG).  Arranged a call from Ken Lay to Treasury Department officials that resulted in a favorable recommendation in the PWG report that energy derivatives dealers not face additional regulation.   Briefed Enron Board member Wendy Gramm (former CFTC chair) and enlisted her assistance in advocating Enron’s positions.  Arranged for Enron and energy industry representatives to participate in Congressional workshops on OTC derivatives and the Commodity Exchange Act.  Maintained a leadership role in the “Energy Group,” a coalition of energy derivatives dealers, to develop strategy and lobby on energy-specific issues in the OTC derivatives and CEA debate.  Successfully developed a strategy and convinced ACCF to produce a derivatives study which will advocate Enron positions.   Made a presentation on OTC derivatives regulation at ACCF Issues Roundtable for Congressional staff and industry.</w:t>
      </w:r>
    </w:p>
    <w:p>
      <w:pPr>
        <w:pStyle w:val="Normal"/>
        <w:numPr>
          <w:ilvl w:val="0"/>
          <w:numId w:val="65"/>
        </w:numPr>
        <w:spacing w:before="0" w:after="120"/>
        <w:rPr>
          <w:sz w:val="24"/>
        </w:rPr>
      </w:pPr>
      <w:r>
        <w:rPr>
          <w:sz w:val="24"/>
        </w:rPr>
        <w:t>Participated in numerous legislative and regulatory initiatives related to Clean Air Act (CAA) regulation of NOx, SO2, CO2, mercury and other air pollutants.  Participated in meetings with key Capitol Hill and agency staff to educate them on Enron’s various business interests in CAA regulation and promote market-based approaches.  Actively participated in the NOx SIP call debate at federal and state levels.  Organized and led a group of clean generation/IPP companies and organizations to participate in advocacy and submit written comments on 1) fair allocations for clean sources, 2) strong, market-based trading programs, 3) use of output-based measurements and allocations.   Assisted in preparation of joint and Enron comments to submit to federal and state regulators.  Provided retail, wholesale businesses and operations timely information and analysis about regulation, legislation and court decisions on a number of topics including increased SO2 regulation, NOx SIP Call , National Ambient Air Quality Standards for Particulate Matter and Ozone, CAA Section 126 petitions by northeast states, New Source Review (NSR) negotiations between EPA and industry groups (participated actively in discussions with utilities and IPPs), EPA’s possible NSR rulemaking, EPA enforcement actions against midwest utilities on NSR violations.</w:t>
      </w:r>
    </w:p>
    <w:p>
      <w:pPr>
        <w:pStyle w:val="Normal"/>
        <w:numPr>
          <w:ilvl w:val="0"/>
          <w:numId w:val="65"/>
        </w:numPr>
        <w:spacing w:before="0" w:after="120"/>
        <w:rPr>
          <w:sz w:val="24"/>
        </w:rPr>
      </w:pPr>
      <w:r>
        <w:rPr>
          <w:sz w:val="24"/>
        </w:rPr>
        <w:t>Several bills on climate change introduced in 1999, including legislation on credit for early action to reduce greenhouse gases, climate research and development, and tax incentives to reduce greenhouse gases.  Continued ongoing lobbying effort to educate key Capitol Hill members and staff on Enron’s market-based approaches to climate change solutions and suggested legislative language to improve several bills. Worked with Enron businesses to provide timely information and identify business opportunities arising from climate change legislation and regulation, and advocated provisions that support those opportunities.  Participated in environmental and industry groups to support market-based solutions and Enron positions, taking a leadership role in a number of groups.  Led the organization of multi-industry coalition to promote an “efficiency-based” approach to greenhouse gas reduction that would benefit new and clean industries.   Led the organization of a gas industry coalition on climate change to highlight gas a solution to climate change and maximize industry participation and visibility as a positive actor with Congress, the White House, and international organizations.</w:t>
      </w:r>
    </w:p>
    <w:p>
      <w:pPr>
        <w:pStyle w:val="Normal"/>
        <w:numPr>
          <w:ilvl w:val="0"/>
          <w:numId w:val="65"/>
        </w:numPr>
        <w:spacing w:before="0" w:after="120"/>
        <w:rPr>
          <w:sz w:val="24"/>
        </w:rPr>
      </w:pPr>
      <w:r>
        <w:rPr>
          <w:sz w:val="24"/>
        </w:rPr>
        <w:t>Successfully advocated on several provisions affecting Enron in bankruptcy reform legislation.  Legislation was not completed in 1999, but is expected to pass in 2000.  Once again secured inclusion on behalf of Enron only, of technical correction legislation to clarify treatment of production payments under the bankruptcy code.  Language passed in the House bill and is included in the Senate bill, which is awaiting passage by the full Senate.  Single-handedly led the effort to successfully defeat efforts by the Department of Interior (DOI) to change the classification of federal mineral leases under the bankruptcy code.   DOI’s language was not included in the House, nor is it expected to be in the Senate bill.  Enron formed and led a coalition of energy and finance companies and association to negotiate with DOI.  Efforts ended in DOI agreeing to drop its efforts to amend legislation this Congress.  Identified an opportunity to amend financial contracts provisions to benefit Enron, adding 1) language protecting weather derivatives and other new products and 2) clarifications allowing “cross-product” netting of contracts.   Drafted language and coordinated review by financial regulators and interested financial industry trade associations.  Groundwork done for language to be included in the Senate bill or in conference committee in 2000.</w:t>
      </w:r>
    </w:p>
    <w:p>
      <w:pPr>
        <w:pStyle w:val="Normal"/>
        <w:numPr>
          <w:ilvl w:val="0"/>
          <w:numId w:val="65"/>
        </w:numPr>
        <w:spacing w:before="0" w:after="120"/>
        <w:rPr>
          <w:sz w:val="24"/>
        </w:rPr>
      </w:pPr>
      <w:r>
        <w:rPr>
          <w:sz w:val="24"/>
        </w:rPr>
        <w:t>Advocated on communications issues of concern to ECI and began to implement strategy for Enron to be recognized as a leader in the communications debate.  Arranged meetings for ECI executives with key members of Congress, FCC Commissioners and their staffs to introduce ECI and its businesses and discuss legislative and regulatory issues important to ECI.  Assisted in arranging a FCC staff forum on Enron’s bandwidth trading proposal.  Assisted ECI in joining the Congressional Internet caucus.  Followed communications legislation and provided updates to ECI on matters affecting businesses, including internet/broadband legislation, digital signature legislation, satellite TV legislation with damaging provisions on on-line video broadcasting, and appropriations legislation with provisions on fiber activities of federal Power Marketing Authorities.  Assisted ECI in hiring legislative and regulatory counsel and in forming a legislative agenda and long term strategy.</w:t>
      </w:r>
    </w:p>
    <w:p>
      <w:pPr>
        <w:pStyle w:val="Normal"/>
        <w:numPr>
          <w:ilvl w:val="0"/>
          <w:numId w:val="65"/>
        </w:numPr>
        <w:spacing w:before="0" w:after="120"/>
        <w:rPr>
          <w:sz w:val="24"/>
        </w:rPr>
      </w:pPr>
      <w:r>
        <w:rPr>
          <w:sz w:val="24"/>
        </w:rPr>
        <w:t>Worked with Azurix on water privatization and infrastructure issues to introduce Azurix and its business plan to Congress and Federal Agencies, identify business opportunities arising from federal legislation and regulation,  and advocate on legislation/regulation of interest to Azurix.  Introduced Azurix executives to key members of Congress, federal regulators, and leaders at international finance organizations.  Organized a reception on Capitol Hill for key Congressional water staff to meet with Azurix government affairs staff.</w:t>
      </w:r>
    </w:p>
    <w:p>
      <w:pPr>
        <w:pStyle w:val="Normal"/>
        <w:numPr>
          <w:ilvl w:val="0"/>
          <w:numId w:val="65"/>
        </w:numPr>
        <w:spacing w:before="0" w:after="120"/>
        <w:rPr>
          <w:sz w:val="24"/>
        </w:rPr>
      </w:pPr>
      <w:r>
        <w:rPr>
          <w:sz w:val="24"/>
        </w:rPr>
        <w:t xml:space="preserve">Supported efforts by Enron Federal Solutions, Inc. to create competition in privatization of government utility systems and identify opportunities for partnership with the federal government.  Arranged meetings and contacts with key policy makers in Congress and the federal agencies.  Produced letters to Congress and assisted in securing letters and contacts from Congress to support competition in bid processes in specific states, regions, or federal installations.  Drafted and introduced legislative amendments as necessary to enable goal achievement, including language allowing for a 50-year federal contract term, which was enacted.  Successfully modified damaging state regulatory amendment championed by Congresswoman Wilson in electricity legislation.  Assisted in Ft. Hamilton promotion to Congressional leaders so as to bolster further Congressional legislative action.  </w:t>
      </w:r>
    </w:p>
    <w:p>
      <w:pPr>
        <w:pStyle w:val="Normal"/>
        <w:numPr>
          <w:ilvl w:val="0"/>
          <w:numId w:val="65"/>
        </w:numPr>
        <w:spacing w:before="0" w:after="120"/>
        <w:rPr>
          <w:sz w:val="24"/>
        </w:rPr>
      </w:pPr>
      <w:r>
        <w:rPr>
          <w:sz w:val="24"/>
        </w:rPr>
        <w:t>Advocated on several environmental compliance bills regarding Superfund, RCRA, Clean Water Act, Wetlands, Endangered Species.  Followed legislation and provided timely information to operations units and businesses to monitor for compliance reasons and analyze for opportunities to suggest language that would benefit Enron and industry.  Took the lead in the pipeline industry in drafting liability reform language protecting pipeline right-of-way and easements from coverage by Superfund laws, and had an amendment successfully included in Superfund legislation at Commerce Committee markup.  Worked with industry groups to successfully promote wetlands language in the Energy &amp; Water Appropriations bill limiting the authority of the Army Corps to change the existing nationwide permit program in ways detrimental to the pipeline industry.</w:t>
      </w:r>
    </w:p>
    <w:p>
      <w:pPr>
        <w:pStyle w:val="Normal"/>
        <w:numPr>
          <w:ilvl w:val="0"/>
          <w:numId w:val="65"/>
        </w:numPr>
        <w:spacing w:before="0" w:after="120"/>
        <w:rPr>
          <w:sz w:val="24"/>
        </w:rPr>
      </w:pPr>
      <w:r>
        <w:rPr>
          <w:sz w:val="24"/>
        </w:rPr>
        <w:t>Supported Enron GPG negotiations with the Navajo Nation over right-of-way renewal for Transwestern pipeline system.  Worked to develop an appropriate  strategy for federal policy maker involvement in settlement negotiations and possible legal action.  Arranged briefings with federal agencies (Department of Interior, Bureau of Indian Affairs) and plan visits with members of Congress in January 2000.</w:t>
      </w:r>
    </w:p>
    <w:p>
      <w:pPr>
        <w:pStyle w:val="Normal"/>
        <w:numPr>
          <w:ilvl w:val="0"/>
          <w:numId w:val="65"/>
        </w:numPr>
        <w:spacing w:before="0" w:after="120"/>
        <w:rPr>
          <w:sz w:val="24"/>
        </w:rPr>
      </w:pPr>
      <w:r>
        <w:rPr>
          <w:sz w:val="24"/>
        </w:rPr>
        <w:t xml:space="preserve">Advocated on legislation/regulation regarding reauthorization of federal pipeline safety programs, user fees to support pipeline safety programs, participation in demonstration projects, improvements to state “one-call” systems, and other safety measures.  Advocated in support of a straightforward, two-year reauthorization of federal pipeline safety laws, which passed the House Commerce Committee and awaits consideration by other House and Senate committees.  Worked with GPG to suggest language for inclusion in the legislation.  Letters sent supporting passage of a “clean” (non-amended) bill.  Worked with GPG to review and develop comments on damaging legislation introduced in response to several pipeline accidents in 1999.  Worked with GPG and members of Congress from Florida to ensure open communication and mitigate the FGT accident in north Florida. </w:t>
      </w:r>
    </w:p>
    <w:p>
      <w:pPr>
        <w:pStyle w:val="Normal"/>
        <w:numPr>
          <w:ilvl w:val="0"/>
          <w:numId w:val="65"/>
        </w:numPr>
        <w:spacing w:before="0" w:after="120"/>
        <w:rPr>
          <w:sz w:val="24"/>
        </w:rPr>
      </w:pPr>
      <w:r>
        <w:rPr>
          <w:sz w:val="24"/>
        </w:rPr>
        <w:t>Worked to support pipeline litigation against the Port of Houston/Army Corps of Engineers for cost sharing due to pipeline relocations.  Communicated with Congressional offices and provided sound public policy analysis to foster and understanding that litigation efforts were not aimed at killing this Houston economic development project.</w:t>
      </w:r>
    </w:p>
    <w:p>
      <w:pPr>
        <w:pStyle w:val="Normal"/>
        <w:numPr>
          <w:ilvl w:val="0"/>
          <w:numId w:val="65"/>
        </w:numPr>
        <w:spacing w:before="0" w:after="120"/>
        <w:rPr>
          <w:b/>
          <w:sz w:val="24"/>
        </w:rPr>
      </w:pPr>
      <w:r>
        <w:rPr>
          <w:sz w:val="24"/>
        </w:rPr>
        <w:t>Supported PGE efforts on Hydro Relicensing.  Supported 2001 relicensing application for PGE’s Pelton Round Butte hydro facility.  Worked with PGE and counsel to identify and educate policy makers within DOI and other environmental/ resources agencies and Congress as to why PGE should be granted a renewed license in 2001 or full value of rate based dollars.   Secured letters from Oregon Congressional delegation to DOI asking for a timely review of the license application and approval of the proposed settlement with the Warm Springs Tribe over their competing application.  Worked with hydropower industry groups on introduction of bipartisan legislation to streamline the hydro relicensing process. Arranged coalition meetings with Oregon Congressional delegation and secured letters from Oregon delegation Congress in support of the legislation.</w:t>
      </w:r>
    </w:p>
    <w:p>
      <w:pPr>
        <w:pStyle w:val="Normal"/>
        <w:numPr>
          <w:ilvl w:val="0"/>
          <w:numId w:val="65"/>
        </w:numPr>
        <w:spacing w:before="0" w:after="120"/>
        <w:rPr>
          <w:sz w:val="24"/>
        </w:rPr>
      </w:pPr>
      <w:r>
        <w:rPr>
          <w:sz w:val="24"/>
        </w:rPr>
        <w:t>Continued legislative and regulatory support for nuclear power initiatives.  Secured NRC approval for single vessel removal of Trojan reactor.  Developed legislative strategy for special legislation needed to allow one-time land transfer in exchange for federal assistance in Trojan cooling tower removal.  Worked with PGE on its appeal to the Department of Labor regarding Trade Adjustment Assistance (TAA) benefits for displaced workers of the Trojan Nuclear Plant.  Obtained Senate and House signatures on a letter in support of the appeal and delivered it to the Department of Labor.  Developed an amendment to guarantee benefits that was included in legislation passed in the Senate.  The Conference will enact the bill in early 2000.  Monitored nuclear power legislation including Price Anderson Act Reauthorization and permanent nuclear waste disposal bills.</w:t>
      </w:r>
    </w:p>
    <w:p>
      <w:pPr>
        <w:pStyle w:val="Normal"/>
        <w:numPr>
          <w:ilvl w:val="0"/>
          <w:numId w:val="65"/>
        </w:numPr>
        <w:spacing w:before="0" w:after="120"/>
        <w:rPr>
          <w:sz w:val="24"/>
        </w:rPr>
      </w:pPr>
      <w:r>
        <w:rPr>
          <w:sz w:val="24"/>
        </w:rPr>
        <w:t>Worked with pipeline industry to educate members of Congress and DOE about FERC’s consideration of regulation to permit offshore transmission lines to be treated as gathering lines (rather than pipelines regulated by FERC) and establish a complaint process for all pipelines under the Outer Continental Shelf (OCS) Lands Act.   In response to a remand from Federal Appeals court, resolution of the matter is still pending at FERC.   Pipelines secured a positive letter from DOE Secretary Richardson to FERC on the matter.</w:t>
      </w:r>
    </w:p>
    <w:p>
      <w:pPr>
        <w:pStyle w:val="Normal"/>
        <w:numPr>
          <w:ilvl w:val="0"/>
          <w:numId w:val="65"/>
        </w:numPr>
        <w:spacing w:before="0" w:after="120"/>
        <w:rPr>
          <w:sz w:val="24"/>
        </w:rPr>
      </w:pPr>
      <w:r>
        <w:rPr>
          <w:sz w:val="24"/>
        </w:rPr>
        <w:t>Worked on improvements to the NEPA environmental review process affecting construction of pipeline, hydropower, water, and other infrastructure projects.  Drafted a proposal that was accepted by the INGAA Foundation in 1999 to do a study of NEPA and its impact on pipeline construction.   Drafted questions and answers for Congressional staff for use in questioning federal agency witnesses at oversight hearings on NEPA.</w:t>
      </w:r>
    </w:p>
    <w:p>
      <w:pPr>
        <w:pStyle w:val="Normal"/>
        <w:numPr>
          <w:ilvl w:val="0"/>
          <w:numId w:val="65"/>
        </w:numPr>
        <w:spacing w:before="0" w:after="120"/>
        <w:rPr>
          <w:sz w:val="24"/>
        </w:rPr>
      </w:pPr>
      <w:r>
        <w:rPr>
          <w:sz w:val="24"/>
        </w:rPr>
        <w:t>Continued ongoing education efforts with Congress on FERC’s efforts to move toward greater competition by modernizing regulation in areas such as treatment of gas pipelines on the outer continental shelf, removing price caps on the short term markets, providing pipelines the ability to negotiate terms and conditions.  Successfully led effort to block Kansas Ad Valorem tax legislation which would be costly to GPG, but the bill will again be considered in 2000.</w:t>
      </w:r>
    </w:p>
    <w:p>
      <w:pPr>
        <w:pStyle w:val="Normal"/>
        <w:numPr>
          <w:ilvl w:val="0"/>
          <w:numId w:val="65"/>
        </w:numPr>
        <w:spacing w:before="0" w:after="120"/>
        <w:rPr>
          <w:sz w:val="24"/>
        </w:rPr>
      </w:pPr>
      <w:r>
        <w:rPr>
          <w:sz w:val="24"/>
        </w:rPr>
        <w:t>Monitored legislation and regulation on rail access and coal issues for ENA coal trading group.   Assisted in hiring consultants and developing a strategy to provide timely regulator information to traders.  Monitored legislation and court decisions affecting coal mining practices.</w:t>
      </w:r>
    </w:p>
    <w:p>
      <w:pPr>
        <w:pStyle w:val="Normal"/>
        <w:numPr>
          <w:ilvl w:val="0"/>
          <w:numId w:val="65"/>
        </w:numPr>
        <w:spacing w:before="0" w:after="120"/>
        <w:rPr>
          <w:sz w:val="24"/>
        </w:rPr>
      </w:pPr>
      <w:r>
        <w:rPr>
          <w:sz w:val="24"/>
        </w:rPr>
        <w:t>Followed encryption legislation.  Separate bills passed the House and Senate in 1999.  In September 1999, the White House announced an end to regulations that placed controls on the export of encryption technology.</w:t>
      </w:r>
    </w:p>
    <w:p>
      <w:pPr>
        <w:pStyle w:val="Normal"/>
        <w:numPr>
          <w:ilvl w:val="0"/>
          <w:numId w:val="65"/>
        </w:numPr>
        <w:spacing w:before="0" w:after="120"/>
        <w:rPr>
          <w:sz w:val="24"/>
        </w:rPr>
      </w:pPr>
      <w:r>
        <w:rPr>
          <w:sz w:val="24"/>
        </w:rPr>
        <w:t>Monitored Y2K legislation and reported to Enron Y2K task force and operations departments.  Provided industry coalitions and Congress legislative language from Enron attorneys.  Advocated bill enactment.</w:t>
      </w:r>
    </w:p>
    <w:p>
      <w:pPr>
        <w:pStyle w:val="Normal"/>
        <w:numPr>
          <w:ilvl w:val="0"/>
          <w:numId w:val="65"/>
        </w:numPr>
        <w:spacing w:before="0" w:after="120"/>
        <w:rPr>
          <w:sz w:val="24"/>
        </w:rPr>
      </w:pPr>
      <w:r>
        <w:rPr>
          <w:sz w:val="24"/>
        </w:rPr>
        <w:t>Closely followed OSHA reform legislation.  Sent letters to Congress supporting legislation delaying OSHA’s proposed ergonomic regulations and participated in advocacy on several related bills.  Worked in several industry coalitions on OSHA issues.  Enron suggestions on OSHA and ergonomics legislation and regulation was incorporated into industry proposals.  Actively developing regulatory, legislative and court strategy to mitigate OSHA’s pending Ergonomic Rulemaking, including assistance in making FOIA requests and preparing court challenges.</w:t>
      </w:r>
    </w:p>
    <w:p>
      <w:pPr>
        <w:pStyle w:val="Normal"/>
        <w:numPr>
          <w:ilvl w:val="0"/>
          <w:numId w:val="65"/>
        </w:numPr>
        <w:spacing w:before="0" w:after="120"/>
        <w:rPr>
          <w:sz w:val="24"/>
        </w:rPr>
      </w:pPr>
      <w:r>
        <w:rPr>
          <w:sz w:val="24"/>
        </w:rPr>
        <w:t>Secured Congressional support for Enron’s bid on a power project in Saipan.  Worked with House Majority Whip Tom DeLay and staff to secure letters and contacts in support of a fair and competitive bid process.  Worked with other members of Congress to write letters and ask questions to Saipan decision-makers at oversight hearings.</w:t>
      </w:r>
    </w:p>
    <w:p>
      <w:pPr>
        <w:pStyle w:val="Normal"/>
        <w:numPr>
          <w:ilvl w:val="0"/>
          <w:numId w:val="65"/>
        </w:numPr>
        <w:spacing w:before="0" w:after="120"/>
        <w:rPr>
          <w:sz w:val="24"/>
        </w:rPr>
      </w:pPr>
      <w:r>
        <w:rPr>
          <w:sz w:val="24"/>
        </w:rPr>
        <w:t>Mitigated an Azurix project in Guam from political exposure with Congress.</w:t>
      </w:r>
    </w:p>
    <w:p>
      <w:pPr>
        <w:pStyle w:val="Normal"/>
        <w:numPr>
          <w:ilvl w:val="0"/>
          <w:numId w:val="65"/>
        </w:numPr>
        <w:spacing w:before="0" w:after="120"/>
        <w:rPr>
          <w:sz w:val="24"/>
        </w:rPr>
      </w:pPr>
      <w:r>
        <w:rPr>
          <w:sz w:val="24"/>
        </w:rPr>
        <w:t>Organized efforts on behalf of ENA trading operations to advocate improvements in weather forecasting systems provided by NOAA and the National Weather Service.  Worked to generate contacts from Ken Lay to Commerce Secretary Daley in support of  such improvements.</w:t>
      </w:r>
    </w:p>
    <w:p>
      <w:pPr>
        <w:pStyle w:val="Normal"/>
        <w:numPr>
          <w:ilvl w:val="0"/>
          <w:numId w:val="65"/>
        </w:numPr>
        <w:spacing w:before="0" w:after="120"/>
        <w:rPr>
          <w:sz w:val="24"/>
        </w:rPr>
      </w:pPr>
      <w:r>
        <w:rPr>
          <w:sz w:val="24"/>
        </w:rPr>
        <w:t>Successfully mitigated Enron Wind’s Condor confrontation over California condor habitat with the National Audubon Society.  Included Congressional letters, Capitol Hill ads, public affairs strategy, and Department of Energy strategy.</w:t>
      </w:r>
    </w:p>
    <w:p>
      <w:pPr>
        <w:pStyle w:val="Normal"/>
        <w:numPr>
          <w:ilvl w:val="0"/>
          <w:numId w:val="65"/>
        </w:numPr>
        <w:spacing w:before="0" w:after="120"/>
        <w:rPr>
          <w:sz w:val="24"/>
        </w:rPr>
      </w:pPr>
      <w:r>
        <w:rPr>
          <w:sz w:val="24"/>
        </w:rPr>
        <w:t>Monitored several regulatory reform bills, identified provisions in “Federalism” legislation that would have a negative impact on FERC and other independent agencies critical to Enron businesses, and advocated against such legislation – which was defeated, but is expected to return in 2000.</w:t>
      </w:r>
    </w:p>
    <w:p>
      <w:pPr>
        <w:pStyle w:val="Normal"/>
        <w:numPr>
          <w:ilvl w:val="0"/>
          <w:numId w:val="65"/>
        </w:numPr>
        <w:spacing w:before="0" w:after="120"/>
        <w:rPr>
          <w:sz w:val="24"/>
        </w:rPr>
      </w:pPr>
      <w:r>
        <w:rPr>
          <w:sz w:val="24"/>
        </w:rPr>
        <w:t>Worked to defeat healthcare legislation.  Sent several Congressional letters to advocate Enron’s position.</w:t>
      </w:r>
    </w:p>
    <w:p>
      <w:pPr>
        <w:pStyle w:val="Normal"/>
        <w:numPr>
          <w:ilvl w:val="0"/>
          <w:numId w:val="65"/>
        </w:numPr>
        <w:spacing w:before="0" w:after="120"/>
        <w:rPr>
          <w:sz w:val="24"/>
        </w:rPr>
      </w:pPr>
      <w:r>
        <w:rPr>
          <w:sz w:val="24"/>
        </w:rPr>
        <w:t>Supported ENA generation services in development of peaker projects and other generation assets.   Assisted with environmental permitting issues and TVA interconnection issues.  Created awareness and participation in projects by members of Congress.  Arranged for Senate Majority Leader Trent Lott to tour Caledonia, MS facility to increase his awareness of Enron as a constituent and engage him on electricity and TVA issues.  Also arranged and participated in tour for Mississippi Congressman Chip Pickering.  Arranged for Tennessee Congressman John Tanner to participate in groundbreaking ceremonies for Brownsville, TN and Gleason, TN projects.  Engaged key members of Congress on TVA issues, worked on TVA reform legislation, TVA hearings and TVA title language in electric restructuring legislation.  Strategized and advocated unsuccessful Kentucky facility and successful Indiana facility.</w:t>
      </w:r>
    </w:p>
    <w:p>
      <w:pPr>
        <w:pStyle w:val="Normal"/>
        <w:numPr>
          <w:ilvl w:val="0"/>
          <w:numId w:val="65"/>
        </w:numPr>
        <w:spacing w:before="0" w:after="120"/>
        <w:rPr>
          <w:sz w:val="24"/>
        </w:rPr>
      </w:pPr>
      <w:r>
        <w:rPr>
          <w:sz w:val="24"/>
        </w:rPr>
        <w:t>Successfully defeated anti-MTBE legislation in 1999.  Worked in MTBE producer coalition to develop several amendments that were offered to House legislation at subcommittee markup.  Led the development of a strategy to add stranded cost recovery language to House and Senate legislation when considered in 2000.</w:t>
      </w:r>
    </w:p>
    <w:p>
      <w:pPr>
        <w:pStyle w:val="Normal"/>
        <w:numPr>
          <w:ilvl w:val="0"/>
          <w:numId w:val="65"/>
        </w:numPr>
        <w:spacing w:before="0" w:after="120"/>
        <w:rPr>
          <w:sz w:val="24"/>
        </w:rPr>
      </w:pPr>
      <w:r>
        <w:rPr>
          <w:sz w:val="24"/>
        </w:rPr>
        <w:t>Supported activities of Enron Indian Affairs.  Arranged meetings with key members of Congress and federal agency officials.  Identified potential business opportunities arising from legislation/regulation.  Arranged for Indian Affairs to testify before the House Resources Committee on water issues and assisted in preparing testimony.</w:t>
      </w:r>
    </w:p>
    <w:p>
      <w:pPr>
        <w:pStyle w:val="Normal"/>
        <w:numPr>
          <w:ilvl w:val="0"/>
          <w:numId w:val="65"/>
        </w:numPr>
        <w:spacing w:before="0" w:after="120"/>
        <w:rPr>
          <w:sz w:val="24"/>
        </w:rPr>
      </w:pPr>
      <w:r>
        <w:rPr>
          <w:sz w:val="24"/>
        </w:rPr>
        <w:t>Successfully introduced Enron Development Corp. to Texas delegation plus coordinated with federal and White House like initiatives.  Scheduled Hill breakfasts, meetings with Fannie Mae and arranged for Congressional support letters.</w:t>
      </w:r>
    </w:p>
    <w:p>
      <w:pPr>
        <w:pStyle w:val="Normal"/>
        <w:numPr>
          <w:ilvl w:val="0"/>
          <w:numId w:val="65"/>
        </w:numPr>
        <w:spacing w:before="0" w:after="12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Organized and hosted over 60 concert events at Wolf Trap for Congressional staff, members of USG and Embassy officials.</w:t>
      </w:r>
    </w:p>
    <w:p>
      <w:pPr>
        <w:pStyle w:val="Normal"/>
        <w:numPr>
          <w:ilvl w:val="0"/>
          <w:numId w:val="65"/>
        </w:numPr>
        <w:spacing w:before="0" w:after="120"/>
        <w:rPr>
          <w:sz w:val="24"/>
        </w:rPr>
      </w:pPr>
      <w:r>
        <w:rPr>
          <w:sz w:val="24"/>
        </w:rPr>
        <w:t>Scheduled literally hundreds of Congressional appointments for Enron advocacy purposes.</w:t>
      </w:r>
    </w:p>
    <w:p>
      <w:pPr>
        <w:pStyle w:val="Normal"/>
        <w:numPr>
          <w:ilvl w:val="0"/>
          <w:numId w:val="65"/>
        </w:numPr>
        <w:spacing w:before="0" w:after="120"/>
        <w:rPr>
          <w:sz w:val="24"/>
        </w:rPr>
      </w:pPr>
      <w:r>
        <w:rPr>
          <w:sz w:val="24"/>
        </w:rPr>
        <w:t>Successfully planned and implemented Congressional staff trip to Houston trading floor, to Portland trading floor and to Zond wind farm.</w:t>
      </w:r>
    </w:p>
    <w:p>
      <w:pPr>
        <w:pStyle w:val="Normal"/>
        <w:numPr>
          <w:ilvl w:val="0"/>
          <w:numId w:val="65"/>
        </w:numPr>
        <w:spacing w:before="0" w:after="120"/>
        <w:rPr>
          <w:sz w:val="24"/>
        </w:rPr>
      </w:pPr>
      <w:r>
        <w:rPr>
          <w:sz w:val="24"/>
        </w:rPr>
        <w:t>Successfully planned and implemented political fundraising support for strategic Congressional allies.</w:t>
      </w:r>
      <w:r>
        <w:br w:type="page"/>
      </w:r>
    </w:p>
    <w:p>
      <w:pPr>
        <w:pStyle w:val="Heading"/>
        <w:spacing w:lineRule="auto" w:line="240"/>
        <w:rPr>
          <w:sz w:val="24"/>
        </w:rPr>
      </w:pPr>
      <w:r>
        <w:rPr>
          <w:sz w:val="24"/>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Normal"/>
        <w:jc w:val="center"/>
        <w:rPr>
          <w:b/>
          <w:color w:val="000000"/>
          <w:sz w:val="40"/>
          <w:lang w:eastAsia="en-US"/>
        </w:rPr>
      </w:pPr>
      <w:r>
        <w:rPr>
          <w:b/>
          <w:color w:val="000000"/>
          <w:sz w:val="40"/>
          <w:lang w:eastAsia="en-US"/>
        </w:rPr>
        <w:t>E.</w:t>
      </w:r>
    </w:p>
    <w:p>
      <w:pPr>
        <w:pStyle w:val="Normal"/>
        <w:jc w:val="center"/>
        <w:rPr>
          <w:b/>
          <w:color w:val="000000"/>
          <w:sz w:val="40"/>
          <w:lang w:eastAsia="en-US"/>
        </w:rPr>
      </w:pPr>
      <w:r>
        <w:rPr>
          <w:b/>
          <w:color w:val="000000"/>
          <w:sz w:val="40"/>
          <w:lang w:eastAsia="en-US"/>
        </w:rPr>
      </w:r>
    </w:p>
    <w:p>
      <w:pPr>
        <w:sectPr>
          <w:footerReference w:type="default" r:id="rId6"/>
          <w:footerReference w:type="first" r:id="rId7"/>
          <w:type w:val="nextPage"/>
          <w:pgSz w:w="12240" w:h="15840"/>
          <w:pgMar w:left="1800" w:right="1800" w:gutter="0" w:header="0" w:top="1440" w:footer="720" w:bottom="1440"/>
          <w:pgNumType w:fmt="decimal"/>
          <w:formProt w:val="false"/>
          <w:textDirection w:val="lrTb"/>
          <w:docGrid w:type="default" w:linePitch="360" w:charSpace="0"/>
        </w:sectPr>
        <w:pStyle w:val="Heading1"/>
        <w:ind w:hanging="0" w:start="0"/>
        <w:rPr>
          <w:rFonts w:ascii="Times New Roman" w:hAnsi="Times New Roman" w:cs="Times New Roman"/>
          <w:sz w:val="40"/>
        </w:rPr>
      </w:pPr>
      <w:r>
        <w:rPr>
          <w:rFonts w:cs="Times New Roman" w:ascii="Times New Roman" w:hAnsi="Times New Roman"/>
          <w:sz w:val="40"/>
        </w:rPr>
        <w:t>Addendum</w:t>
      </w:r>
    </w:p>
    <w:p>
      <w:pPr>
        <w:pStyle w:val="Normal"/>
        <w:spacing w:before="0" w:after="120"/>
        <w:jc w:val="center"/>
        <w:rPr>
          <w:b/>
          <w:sz w:val="24"/>
        </w:rPr>
      </w:pPr>
      <w:r>
        <w:rPr>
          <w:b/>
          <w:sz w:val="24"/>
        </w:rPr>
        <w:t>Addendum</w:t>
      </w:r>
    </w:p>
    <w:p>
      <w:pPr>
        <w:pStyle w:val="Normal"/>
        <w:spacing w:before="0" w:after="12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Listed here are some examples of specific tasks completed by our office which were necessary in order to achieve our overall goals.  This should give a “flavor” for all the countless steps behind each successful accomplishment.</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Set up the US WTO Energy Services Coalition; arranged meetings on the Hill, at US Embassies, with trade associations and US/foreign companies.</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trip to Brussels and London re:  ESC contacts.</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Assisted with the establishment of the US Bolivia Business Partnership, coordinated lunches for Ambassador Perez at the Metropolitan Club; trip to La Paz and Santa Cruz for USBBP members.</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farewell luncheon for Carlos Ibarguen.</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EJH PESA meeting in Houston, August, 1999</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Settlement agreement signed in Nicaragua.  Worked with DOC and DOE.</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NGO status for the ESC at the Seattle WTO Ministerial.</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travel for ESC steering committee for Seattle WTO Ministerial.</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Romania:  Coordinated meetings with Azurix personnel and key staff (Dan Capitana, Advisor to the President) in Romania.</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correspondence on the UK natural gas moratorium.</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Arranged meeting for Joe Sutton’s group, George Munoz and Joe Hillings with Senator Phil Gramm re:  Mexico OPIC issue.</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various lobbying efforts with EI and Enron federal government affairs staff on Cuiaba project.</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Hosted four Wolf Trap events with members of USG and Embassy officials.</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Organized a luncheon for Mark Schroeder with USG officials and meeting with Tim Richards, GE during Mark’s trip to DC (February, 1999).</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correspondence re:  IEMA Law – Final Approval (Guatemala).</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Proofread and assisted in many mass mailing to Capitol Hill on international issues and the Africa Growth and Opportunity Act.</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Attended and assisted with Enron’s participation in the American Turkish Council Annual meetings in DC in May, 1999.</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and attended “The Goddess Devi” exhibition at the Sackler Gallery along with Enron DC staff.</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meetings for Joe Hillings with Prime Minister Ecevit of Turkey during his trip to the United States.</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meeting with Ambassador Hito, Special Advisor, MITI, Japan.</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meetings with Latvian delegation.</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BCIU opera gala with Chinese Ambassador, members of USG and UN Ambassador to Mexico.</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Organized Congressional staff trip to California wind farms.</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Organized several tax dinners with the House Ways and Means Committee.</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tables with Congressional staff for National Energy Resource Organization lunches (NERO).</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Assisted in recruiting membership for the Campaign to Preserve US Global Leadership Coalition.</w:t>
      </w:r>
    </w:p>
    <w:p>
      <w:p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Azurix reception for Congressional staff at Tortilla Coast.</w:t>
      </w:r>
    </w:p>
    <w:p>
      <w:pPr>
        <w:sectPr>
          <w:footerReference w:type="default" r:id="rId8"/>
          <w:footerReference w:type="first" r:id="rId9"/>
          <w:type w:val="nextPage"/>
          <w:pgSz w:w="12240" w:h="15840"/>
          <w:pgMar w:left="1800" w:right="1800" w:gutter="0" w:header="0" w:top="1440" w:footer="720" w:bottom="864"/>
          <w:pgNumType w:fmt="decimal"/>
          <w:formProt w:val="false"/>
          <w:textDirection w:val="lrTb"/>
          <w:docGrid w:type="default" w:linePitch="360" w:charSpace="0"/>
        </w:sectPr>
        <w:pStyle w:val="Normal"/>
        <w:numPr>
          <w:ilvl w:val="0"/>
          <w:numId w:val="28"/>
        </w:numP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Coordinated Enron hosted fundraisers for Congressmen.</w:t>
      </w:r>
    </w:p>
    <w:p>
      <w:pPr>
        <w:pStyle w:val="Heading"/>
        <w:spacing w:lineRule="auto"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Normal"/>
        <w:jc w:val="center"/>
        <w:rPr>
          <w:b/>
          <w:color w:val="000000"/>
          <w:sz w:val="40"/>
          <w:lang w:eastAsia="en-US"/>
        </w:rPr>
      </w:pPr>
      <w:r>
        <w:rPr>
          <w:b/>
          <w:color w:val="000000"/>
          <w:sz w:val="40"/>
          <w:lang w:eastAsia="en-US"/>
        </w:rPr>
        <w:t>F.</w:t>
      </w:r>
    </w:p>
    <w:p>
      <w:pPr>
        <w:pStyle w:val="Normal"/>
        <w:jc w:val="center"/>
        <w:rPr>
          <w:b/>
          <w:color w:val="000000"/>
          <w:sz w:val="40"/>
          <w:lang w:eastAsia="en-US"/>
        </w:rPr>
      </w:pPr>
      <w:r>
        <w:rPr>
          <w:b/>
          <w:color w:val="000000"/>
          <w:sz w:val="40"/>
          <w:lang w:eastAsia="en-US"/>
        </w:rPr>
      </w:r>
    </w:p>
    <w:p>
      <w:pPr>
        <w:pStyle w:val="Heading2"/>
        <w:ind w:hanging="0" w:start="0"/>
        <w:rPr/>
      </w:pPr>
      <w:r>
        <w:rPr/>
        <w:t>Organizations</w:t>
      </w:r>
    </w:p>
    <w:p>
      <w:pPr>
        <w:pStyle w:val="Heading2"/>
        <w:ind w:hanging="0" w:start="0"/>
        <w:rPr>
          <w:sz w:val="24"/>
        </w:rPr>
      </w:pPr>
      <w:r>
        <w:rPr>
          <w:sz w:val="24"/>
        </w:rPr>
      </w:r>
    </w:p>
    <w:p>
      <w:pPr>
        <w:pStyle w:val="Normal"/>
        <w:rPr>
          <w:sz w:val="24"/>
        </w:rPr>
      </w:pPr>
      <w:r>
        <w:rPr>
          <w:sz w:val="24"/>
        </w:rPr>
      </w:r>
      <w:r>
        <w:br w:type="page"/>
      </w:r>
    </w:p>
    <w:p>
      <w:pPr>
        <w:pStyle w:val="Heading"/>
        <w:spacing w:lineRule="auto" w:line="240"/>
        <w:rPr>
          <w:sz w:val="24"/>
        </w:rPr>
      </w:pPr>
      <w:r>
        <w:rPr/>
        <w:t>Organizations</w:t>
      </w:r>
    </w:p>
    <w:p>
      <w:pPr>
        <w:pStyle w:val="Normal"/>
        <w:tabs>
          <w:tab w:val="clear" w:pos="720"/>
          <w:tab w:val="left" w:pos="3572" w:leader="none"/>
          <w:tab w:val="left" w:pos="5273" w:leader="none"/>
          <w:tab w:val="left" w:pos="8392" w:leader="none"/>
        </w:tabs>
        <w:ind w:start="1440" w:end="0"/>
        <w:rPr>
          <w:sz w:val="24"/>
        </w:rPr>
      </w:pPr>
      <w:r>
        <w:rPr>
          <w:sz w:val="24"/>
        </w:rPr>
        <w:tab/>
        <w:tab/>
      </w:r>
    </w:p>
    <w:p>
      <w:pPr>
        <w:pStyle w:val="Normal"/>
        <w:tabs>
          <w:tab w:val="clear" w:pos="720"/>
          <w:tab w:val="left" w:pos="3572" w:leader="none"/>
          <w:tab w:val="left" w:pos="5273" w:leader="none"/>
          <w:tab w:val="left" w:pos="8392" w:leader="none"/>
        </w:tabs>
        <w:ind w:start="1440" w:end="0"/>
        <w:rPr>
          <w:b/>
          <w:sz w:val="24"/>
        </w:rPr>
      </w:pPr>
      <w:r>
        <w:rPr>
          <w:b/>
          <w:sz w:val="24"/>
        </w:rPr>
        <w:t xml:space="preserve">International </w:t>
      </w:r>
    </w:p>
    <w:p>
      <w:pPr>
        <w:pStyle w:val="Normal"/>
        <w:tabs>
          <w:tab w:val="clear" w:pos="720"/>
          <w:tab w:val="left" w:pos="3572" w:leader="none"/>
          <w:tab w:val="left" w:pos="5273" w:leader="none"/>
          <w:tab w:val="left" w:pos="8392" w:leader="none"/>
        </w:tabs>
        <w:ind w:start="1440" w:end="0"/>
        <w:rPr>
          <w:b/>
          <w:sz w:val="24"/>
        </w:rPr>
      </w:pPr>
      <w:r>
        <w:rPr>
          <w:b/>
          <w:sz w:val="24"/>
        </w:rPr>
      </w:r>
    </w:p>
    <w:p>
      <w:pPr>
        <w:pStyle w:val="Normal"/>
        <w:tabs>
          <w:tab w:val="clear" w:pos="720"/>
          <w:tab w:val="left" w:pos="3572" w:leader="none"/>
          <w:tab w:val="left" w:pos="5273" w:leader="none"/>
          <w:tab w:val="left" w:pos="8392" w:leader="none"/>
        </w:tabs>
        <w:ind w:start="1440" w:end="0"/>
        <w:rPr>
          <w:sz w:val="24"/>
        </w:rPr>
      </w:pPr>
      <w:r>
        <w:rPr>
          <w:sz w:val="24"/>
        </w:rPr>
        <w:t>APEC*</w:t>
      </w:r>
    </w:p>
    <w:p>
      <w:pPr>
        <w:pStyle w:val="Normal"/>
        <w:tabs>
          <w:tab w:val="clear" w:pos="720"/>
          <w:tab w:val="left" w:pos="3572" w:leader="none"/>
          <w:tab w:val="left" w:pos="5273" w:leader="none"/>
          <w:tab w:val="left" w:pos="8392" w:leader="none"/>
        </w:tabs>
        <w:ind w:start="1440" w:end="0"/>
        <w:rPr>
          <w:sz w:val="24"/>
        </w:rPr>
      </w:pPr>
      <w:r>
        <w:rPr>
          <w:sz w:val="24"/>
        </w:rPr>
        <w:t>African Growth and Opportunity Act Coalition*</w:t>
      </w:r>
    </w:p>
    <w:p>
      <w:pPr>
        <w:pStyle w:val="Normal"/>
        <w:tabs>
          <w:tab w:val="clear" w:pos="720"/>
          <w:tab w:val="left" w:pos="3572" w:leader="none"/>
          <w:tab w:val="left" w:pos="5273" w:leader="none"/>
          <w:tab w:val="left" w:pos="8392" w:leader="none"/>
        </w:tabs>
        <w:ind w:start="1440" w:end="0"/>
        <w:rPr>
          <w:sz w:val="24"/>
        </w:rPr>
      </w:pPr>
      <w:r>
        <w:rPr>
          <w:sz w:val="24"/>
        </w:rPr>
        <w:t>American Turkish Council* (ATC)</w:t>
      </w:r>
    </w:p>
    <w:p>
      <w:pPr>
        <w:pStyle w:val="Normal"/>
        <w:tabs>
          <w:tab w:val="clear" w:pos="720"/>
          <w:tab w:val="left" w:pos="3572" w:leader="none"/>
          <w:tab w:val="left" w:pos="5273" w:leader="none"/>
          <w:tab w:val="left" w:pos="8392" w:leader="none"/>
        </w:tabs>
        <w:ind w:start="1440" w:end="0"/>
        <w:rPr>
          <w:sz w:val="24"/>
        </w:rPr>
      </w:pPr>
      <w:r>
        <w:rPr>
          <w:sz w:val="24"/>
        </w:rPr>
        <w:t>Asia Society</w:t>
        <w:tab/>
        <w:tab/>
      </w:r>
    </w:p>
    <w:p>
      <w:pPr>
        <w:pStyle w:val="Normal"/>
        <w:tabs>
          <w:tab w:val="clear" w:pos="720"/>
          <w:tab w:val="left" w:pos="3572" w:leader="none"/>
          <w:tab w:val="left" w:pos="5273" w:leader="none"/>
          <w:tab w:val="left" w:pos="8392" w:leader="none"/>
        </w:tabs>
        <w:ind w:start="1440" w:end="0"/>
        <w:rPr>
          <w:sz w:val="24"/>
        </w:rPr>
      </w:pPr>
      <w:r>
        <w:rPr>
          <w:sz w:val="24"/>
        </w:rPr>
        <w:t>Business Council for International Understanding* (BCIU)</w:t>
        <w:tab/>
        <w:tab/>
      </w:r>
    </w:p>
    <w:p>
      <w:pPr>
        <w:pStyle w:val="Normal"/>
        <w:tabs>
          <w:tab w:val="clear" w:pos="720"/>
          <w:tab w:val="left" w:pos="3572" w:leader="none"/>
          <w:tab w:val="left" w:pos="5273" w:leader="none"/>
          <w:tab w:val="left" w:pos="8392" w:leader="none"/>
        </w:tabs>
        <w:ind w:start="1440" w:end="0"/>
        <w:rPr>
          <w:sz w:val="24"/>
        </w:rPr>
      </w:pPr>
      <w:r>
        <w:rPr>
          <w:sz w:val="24"/>
        </w:rPr>
        <w:t>Campaign to Preserve US Global Leadership*</w:t>
      </w:r>
    </w:p>
    <w:p>
      <w:pPr>
        <w:pStyle w:val="Normal"/>
        <w:tabs>
          <w:tab w:val="clear" w:pos="720"/>
          <w:tab w:val="left" w:pos="3572" w:leader="none"/>
          <w:tab w:val="left" w:pos="5273" w:leader="none"/>
          <w:tab w:val="left" w:pos="8392" w:leader="none"/>
        </w:tabs>
        <w:ind w:start="1440" w:end="0"/>
        <w:rPr>
          <w:sz w:val="24"/>
        </w:rPr>
      </w:pPr>
      <w:r>
        <w:rPr>
          <w:sz w:val="24"/>
        </w:rPr>
        <w:t>Center for Strategic and International Studies (CSIS)</w:t>
        <w:tab/>
        <w:tab/>
      </w:r>
    </w:p>
    <w:p>
      <w:pPr>
        <w:pStyle w:val="Normal"/>
        <w:tabs>
          <w:tab w:val="clear" w:pos="720"/>
          <w:tab w:val="left" w:pos="3572" w:leader="none"/>
          <w:tab w:val="left" w:pos="5273" w:leader="none"/>
          <w:tab w:val="left" w:pos="8392" w:leader="none"/>
        </w:tabs>
        <w:ind w:start="1440" w:end="0"/>
        <w:rPr>
          <w:sz w:val="24"/>
        </w:rPr>
      </w:pPr>
      <w:r>
        <w:rPr>
          <w:sz w:val="24"/>
        </w:rPr>
        <w:t>Coalition for Employment through Exports* (CEE)</w:t>
        <w:tab/>
        <w:tab/>
      </w:r>
    </w:p>
    <w:p>
      <w:pPr>
        <w:pStyle w:val="Normal"/>
        <w:tabs>
          <w:tab w:val="clear" w:pos="720"/>
          <w:tab w:val="left" w:pos="3572" w:leader="none"/>
          <w:tab w:val="left" w:pos="5273" w:leader="none"/>
          <w:tab w:val="left" w:pos="8392" w:leader="none"/>
        </w:tabs>
        <w:ind w:start="1440" w:end="0"/>
        <w:rPr>
          <w:sz w:val="24"/>
        </w:rPr>
      </w:pPr>
      <w:r>
        <w:rPr>
          <w:sz w:val="24"/>
        </w:rPr>
        <w:t>Corporate Council on Africa*</w:t>
        <w:tab/>
        <w:tab/>
      </w:r>
    </w:p>
    <w:p>
      <w:pPr>
        <w:pStyle w:val="Normal"/>
        <w:tabs>
          <w:tab w:val="clear" w:pos="720"/>
          <w:tab w:val="left" w:pos="3572" w:leader="none"/>
          <w:tab w:val="left" w:pos="5273" w:leader="none"/>
          <w:tab w:val="left" w:pos="8392" w:leader="none"/>
        </w:tabs>
        <w:ind w:start="1440" w:end="0"/>
        <w:rPr>
          <w:sz w:val="24"/>
        </w:rPr>
      </w:pPr>
      <w:r>
        <w:rPr>
          <w:sz w:val="24"/>
        </w:rPr>
        <w:t>Council of the Americas</w:t>
        <w:tab/>
        <w:tab/>
      </w:r>
    </w:p>
    <w:p>
      <w:pPr>
        <w:pStyle w:val="Normal"/>
        <w:tabs>
          <w:tab w:val="clear" w:pos="720"/>
          <w:tab w:val="left" w:pos="3572" w:leader="none"/>
          <w:tab w:val="left" w:pos="5273" w:leader="none"/>
          <w:tab w:val="left" w:pos="8392" w:leader="none"/>
        </w:tabs>
        <w:ind w:start="1440" w:end="0"/>
        <w:rPr>
          <w:sz w:val="24"/>
        </w:rPr>
      </w:pPr>
      <w:r>
        <w:rPr>
          <w:sz w:val="24"/>
        </w:rPr>
        <w:t>European Institute*</w:t>
      </w:r>
    </w:p>
    <w:p>
      <w:pPr>
        <w:pStyle w:val="Normal"/>
        <w:tabs>
          <w:tab w:val="clear" w:pos="720"/>
          <w:tab w:val="left" w:pos="3572" w:leader="none"/>
          <w:tab w:val="left" w:pos="5273" w:leader="none"/>
          <w:tab w:val="left" w:pos="8392" w:leader="none"/>
        </w:tabs>
        <w:ind w:start="1440" w:end="-270"/>
        <w:rPr>
          <w:sz w:val="24"/>
        </w:rPr>
      </w:pPr>
      <w:r>
        <w:rPr>
          <w:sz w:val="24"/>
        </w:rPr>
        <w:t>International Energy and Environment Institute at John Hopkins University</w:t>
      </w:r>
    </w:p>
    <w:p>
      <w:pPr>
        <w:pStyle w:val="Normal"/>
        <w:tabs>
          <w:tab w:val="clear" w:pos="720"/>
          <w:tab w:val="left" w:pos="3572" w:leader="none"/>
          <w:tab w:val="left" w:pos="5273" w:leader="none"/>
          <w:tab w:val="left" w:pos="8392" w:leader="none"/>
        </w:tabs>
        <w:ind w:start="1440" w:end="0"/>
        <w:rPr>
          <w:sz w:val="24"/>
        </w:rPr>
      </w:pPr>
      <w:r>
        <w:rPr>
          <w:sz w:val="24"/>
        </w:rPr>
        <w:t>National Center for Policy Analysis</w:t>
        <w:tab/>
        <w:tab/>
      </w:r>
    </w:p>
    <w:p>
      <w:pPr>
        <w:pStyle w:val="Normal"/>
        <w:tabs>
          <w:tab w:val="clear" w:pos="720"/>
          <w:tab w:val="left" w:pos="3572" w:leader="none"/>
          <w:tab w:val="left" w:pos="5273" w:leader="none"/>
          <w:tab w:val="left" w:pos="8392" w:leader="none"/>
        </w:tabs>
        <w:ind w:start="1440" w:end="0"/>
        <w:rPr>
          <w:sz w:val="24"/>
        </w:rPr>
      </w:pPr>
      <w:r>
        <w:rPr>
          <w:sz w:val="24"/>
        </w:rPr>
        <w:t>National Foreign Trade Council* (NFTC)</w:t>
        <w:tab/>
        <w:tab/>
      </w:r>
    </w:p>
    <w:p>
      <w:pPr>
        <w:pStyle w:val="Normal"/>
        <w:tabs>
          <w:tab w:val="clear" w:pos="720"/>
          <w:tab w:val="left" w:pos="3572" w:leader="none"/>
          <w:tab w:val="left" w:pos="5273" w:leader="none"/>
          <w:tab w:val="left" w:pos="8392" w:leader="none"/>
        </w:tabs>
        <w:ind w:start="1440" w:end="0"/>
        <w:rPr>
          <w:sz w:val="24"/>
        </w:rPr>
      </w:pPr>
      <w:r>
        <w:rPr>
          <w:sz w:val="24"/>
        </w:rPr>
        <w:t>Pacific Economic Cooperation Council (PECC)</w:t>
        <w:tab/>
        <w:tab/>
      </w:r>
    </w:p>
    <w:p>
      <w:pPr>
        <w:pStyle w:val="Normal"/>
        <w:tabs>
          <w:tab w:val="clear" w:pos="720"/>
          <w:tab w:val="left" w:pos="3572" w:leader="none"/>
          <w:tab w:val="left" w:pos="5273" w:leader="none"/>
          <w:tab w:val="left" w:pos="8392" w:leader="none"/>
        </w:tabs>
        <w:ind w:start="1440" w:end="0"/>
        <w:rPr>
          <w:sz w:val="24"/>
        </w:rPr>
      </w:pPr>
      <w:r>
        <w:rPr>
          <w:sz w:val="24"/>
        </w:rPr>
        <w:t>Ukraine United States Business Council</w:t>
        <w:tab/>
        <w:tab/>
      </w:r>
    </w:p>
    <w:p>
      <w:pPr>
        <w:pStyle w:val="Normal"/>
        <w:tabs>
          <w:tab w:val="clear" w:pos="720"/>
          <w:tab w:val="left" w:pos="3572" w:leader="none"/>
          <w:tab w:val="left" w:pos="5273" w:leader="none"/>
          <w:tab w:val="left" w:pos="8392" w:leader="none"/>
        </w:tabs>
        <w:ind w:start="1440" w:end="0"/>
        <w:rPr>
          <w:sz w:val="24"/>
        </w:rPr>
      </w:pPr>
      <w:r>
        <w:rPr>
          <w:sz w:val="24"/>
        </w:rPr>
        <w:t>US ASEAN Business Council*</w:t>
        <w:tab/>
        <w:tab/>
      </w:r>
    </w:p>
    <w:p>
      <w:pPr>
        <w:pStyle w:val="Normal"/>
        <w:tabs>
          <w:tab w:val="clear" w:pos="720"/>
          <w:tab w:val="left" w:pos="3572" w:leader="none"/>
          <w:tab w:val="left" w:pos="5273" w:leader="none"/>
          <w:tab w:val="left" w:pos="8392" w:leader="none"/>
        </w:tabs>
        <w:ind w:start="1440" w:end="0"/>
        <w:rPr>
          <w:sz w:val="24"/>
        </w:rPr>
      </w:pPr>
      <w:r>
        <w:rPr>
          <w:sz w:val="24"/>
        </w:rPr>
        <w:t>US Bangladesh Business Council*</w:t>
      </w:r>
    </w:p>
    <w:p>
      <w:pPr>
        <w:pStyle w:val="Normal"/>
        <w:tabs>
          <w:tab w:val="clear" w:pos="720"/>
          <w:tab w:val="left" w:pos="3572" w:leader="none"/>
          <w:tab w:val="left" w:pos="5273" w:leader="none"/>
          <w:tab w:val="left" w:pos="8392" w:leader="none"/>
        </w:tabs>
        <w:ind w:start="1440" w:end="0"/>
        <w:rPr>
          <w:sz w:val="24"/>
        </w:rPr>
      </w:pPr>
      <w:r>
        <w:rPr>
          <w:sz w:val="24"/>
        </w:rPr>
        <w:t>US Bolivia Business Partnership*</w:t>
      </w:r>
    </w:p>
    <w:p>
      <w:pPr>
        <w:pStyle w:val="Normal"/>
        <w:tabs>
          <w:tab w:val="clear" w:pos="720"/>
          <w:tab w:val="left" w:pos="3572" w:leader="none"/>
          <w:tab w:val="left" w:pos="5273" w:leader="none"/>
          <w:tab w:val="left" w:pos="8392" w:leader="none"/>
        </w:tabs>
        <w:ind w:start="1440" w:end="0"/>
        <w:rPr>
          <w:sz w:val="24"/>
        </w:rPr>
      </w:pPr>
      <w:r>
        <w:rPr>
          <w:sz w:val="24"/>
        </w:rPr>
        <w:t>US China Business Council</w:t>
      </w:r>
    </w:p>
    <w:p>
      <w:pPr>
        <w:pStyle w:val="Normal"/>
        <w:tabs>
          <w:tab w:val="clear" w:pos="720"/>
          <w:tab w:val="left" w:pos="3572" w:leader="none"/>
          <w:tab w:val="left" w:pos="5273" w:leader="none"/>
          <w:tab w:val="left" w:pos="8392" w:leader="none"/>
        </w:tabs>
        <w:ind w:start="1440" w:end="0"/>
        <w:rPr>
          <w:sz w:val="24"/>
        </w:rPr>
      </w:pPr>
      <w:r>
        <w:rPr>
          <w:sz w:val="24"/>
        </w:rPr>
        <w:t>US Colombia Business Partnership*</w:t>
        <w:tab/>
        <w:tab/>
      </w:r>
    </w:p>
    <w:p>
      <w:pPr>
        <w:pStyle w:val="Normal"/>
        <w:tabs>
          <w:tab w:val="clear" w:pos="720"/>
          <w:tab w:val="left" w:pos="3572" w:leader="none"/>
          <w:tab w:val="left" w:pos="5273" w:leader="none"/>
          <w:tab w:val="left" w:pos="8392" w:leader="none"/>
        </w:tabs>
        <w:ind w:start="1440" w:end="0"/>
        <w:rPr>
          <w:sz w:val="24"/>
        </w:rPr>
      </w:pPr>
      <w:r>
        <w:rPr>
          <w:sz w:val="24"/>
        </w:rPr>
        <w:t>US Council for International Business</w:t>
        <w:tab/>
        <w:tab/>
      </w:r>
    </w:p>
    <w:p>
      <w:pPr>
        <w:pStyle w:val="Normal"/>
        <w:tabs>
          <w:tab w:val="clear" w:pos="720"/>
          <w:tab w:val="left" w:pos="3572" w:leader="none"/>
          <w:tab w:val="left" w:pos="5273" w:leader="none"/>
          <w:tab w:val="left" w:pos="8392" w:leader="none"/>
        </w:tabs>
        <w:ind w:start="1440" w:end="0"/>
        <w:rPr>
          <w:sz w:val="24"/>
        </w:rPr>
      </w:pPr>
      <w:r>
        <w:rPr>
          <w:sz w:val="24"/>
        </w:rPr>
        <w:t>US India Business Council*</w:t>
        <w:tab/>
        <w:tab/>
      </w:r>
    </w:p>
    <w:p>
      <w:pPr>
        <w:pStyle w:val="Normal"/>
        <w:tabs>
          <w:tab w:val="clear" w:pos="720"/>
          <w:tab w:val="left" w:pos="3572" w:leader="none"/>
          <w:tab w:val="left" w:pos="5273" w:leader="none"/>
          <w:tab w:val="left" w:pos="8392" w:leader="none"/>
        </w:tabs>
        <w:ind w:start="1440" w:end="0"/>
        <w:rPr>
          <w:sz w:val="24"/>
        </w:rPr>
      </w:pPr>
      <w:r>
        <w:rPr>
          <w:sz w:val="24"/>
        </w:rPr>
        <w:t>US Qatar Business Council*</w:t>
        <w:tab/>
        <w:tab/>
      </w:r>
    </w:p>
    <w:p>
      <w:pPr>
        <w:pStyle w:val="Normal"/>
        <w:tabs>
          <w:tab w:val="clear" w:pos="720"/>
          <w:tab w:val="left" w:pos="3572" w:leader="none"/>
          <w:tab w:val="left" w:pos="5273" w:leader="none"/>
          <w:tab w:val="left" w:pos="8392" w:leader="none"/>
        </w:tabs>
        <w:ind w:start="1440" w:end="0"/>
        <w:rPr>
          <w:sz w:val="24"/>
        </w:rPr>
      </w:pPr>
      <w:r>
        <w:rPr>
          <w:sz w:val="24"/>
        </w:rPr>
        <w:t>US Romania Business Council</w:t>
      </w:r>
    </w:p>
    <w:p>
      <w:pPr>
        <w:pStyle w:val="Normal"/>
        <w:tabs>
          <w:tab w:val="clear" w:pos="720"/>
          <w:tab w:val="left" w:pos="3572" w:leader="none"/>
          <w:tab w:val="left" w:pos="5273" w:leader="none"/>
          <w:tab w:val="left" w:pos="8392" w:leader="none"/>
        </w:tabs>
        <w:ind w:start="1440" w:end="0"/>
        <w:rPr>
          <w:sz w:val="24"/>
        </w:rPr>
      </w:pPr>
      <w:r>
        <w:rPr>
          <w:sz w:val="24"/>
        </w:rPr>
        <w:t>US Russian Business Council*</w:t>
        <w:tab/>
        <w:tab/>
      </w:r>
    </w:p>
    <w:p>
      <w:pPr>
        <w:pStyle w:val="Normal"/>
        <w:tabs>
          <w:tab w:val="clear" w:pos="720"/>
          <w:tab w:val="left" w:pos="3572" w:leader="none"/>
          <w:tab w:val="left" w:pos="5273" w:leader="none"/>
          <w:tab w:val="left" w:pos="8392" w:leader="none"/>
        </w:tabs>
        <w:ind w:start="1440" w:end="0"/>
        <w:rPr>
          <w:sz w:val="24"/>
        </w:rPr>
      </w:pPr>
      <w:r>
        <w:rPr>
          <w:sz w:val="24"/>
        </w:rPr>
        <w:t>US Saudi Arabian Business Council</w:t>
        <w:tab/>
        <w:tab/>
      </w:r>
    </w:p>
    <w:p>
      <w:pPr>
        <w:pStyle w:val="Normal"/>
        <w:tabs>
          <w:tab w:val="clear" w:pos="720"/>
          <w:tab w:val="left" w:pos="3572" w:leader="none"/>
          <w:tab w:val="left" w:pos="5273" w:leader="none"/>
          <w:tab w:val="left" w:pos="8392" w:leader="none"/>
        </w:tabs>
        <w:ind w:start="1440" w:end="0"/>
        <w:rPr>
          <w:sz w:val="24"/>
        </w:rPr>
      </w:pPr>
      <w:r>
        <w:rPr>
          <w:sz w:val="24"/>
        </w:rPr>
        <w:t>US South Africa Business Council</w:t>
        <w:tab/>
        <w:tab/>
      </w:r>
    </w:p>
    <w:p>
      <w:pPr>
        <w:pStyle w:val="Normal"/>
        <w:tabs>
          <w:tab w:val="clear" w:pos="720"/>
          <w:tab w:val="left" w:pos="3572" w:leader="none"/>
          <w:tab w:val="left" w:pos="5273" w:leader="none"/>
          <w:tab w:val="left" w:pos="8392" w:leader="none"/>
        </w:tabs>
        <w:ind w:start="1440" w:end="0"/>
        <w:rPr>
          <w:sz w:val="24"/>
        </w:rPr>
      </w:pPr>
      <w:r>
        <w:rPr>
          <w:sz w:val="24"/>
        </w:rPr>
        <w:t>US Turkmenistan Business Council</w:t>
      </w:r>
    </w:p>
    <w:p>
      <w:pPr>
        <w:pStyle w:val="Normal"/>
        <w:tabs>
          <w:tab w:val="clear" w:pos="720"/>
          <w:tab w:val="left" w:pos="3572" w:leader="none"/>
          <w:tab w:val="left" w:pos="5273" w:leader="none"/>
          <w:tab w:val="left" w:pos="8392" w:leader="none"/>
        </w:tabs>
        <w:ind w:start="1440" w:end="0"/>
        <w:rPr>
          <w:sz w:val="24"/>
        </w:rPr>
      </w:pPr>
      <w:r>
        <w:rPr>
          <w:sz w:val="24"/>
        </w:rPr>
        <w:t>US WTO Energy Services Coalition*</w:t>
      </w:r>
    </w:p>
    <w:p>
      <w:pPr>
        <w:pStyle w:val="Normal"/>
        <w:tabs>
          <w:tab w:val="clear" w:pos="720"/>
          <w:tab w:val="left" w:pos="3572" w:leader="none"/>
          <w:tab w:val="left" w:pos="5273" w:leader="none"/>
          <w:tab w:val="left" w:pos="8392" w:leader="none"/>
        </w:tabs>
        <w:ind w:start="1440" w:end="0"/>
        <w:rPr>
          <w:sz w:val="24"/>
        </w:rPr>
      </w:pPr>
      <w:r>
        <w:rPr>
          <w:sz w:val="24"/>
        </w:rPr>
      </w:r>
    </w:p>
    <w:p>
      <w:pPr>
        <w:pStyle w:val="Normal"/>
        <w:tabs>
          <w:tab w:val="clear" w:pos="720"/>
          <w:tab w:val="left" w:pos="3572" w:leader="none"/>
          <w:tab w:val="left" w:pos="5273" w:leader="none"/>
          <w:tab w:val="left" w:pos="8392" w:leader="none"/>
        </w:tabs>
        <w:ind w:start="1440" w:end="0"/>
        <w:rPr>
          <w:sz w:val="24"/>
        </w:rPr>
      </w:pPr>
      <w:r>
        <w:rPr>
          <w:sz w:val="24"/>
        </w:rPr>
      </w:r>
    </w:p>
    <w:p>
      <w:pPr>
        <w:pStyle w:val="Normal"/>
        <w:tabs>
          <w:tab w:val="clear" w:pos="720"/>
          <w:tab w:val="left" w:pos="3572" w:leader="none"/>
          <w:tab w:val="left" w:pos="5273" w:leader="none"/>
          <w:tab w:val="left" w:pos="8392" w:leader="none"/>
        </w:tabs>
        <w:ind w:start="1440" w:end="0"/>
        <w:rPr>
          <w:sz w:val="24"/>
        </w:rPr>
      </w:pPr>
      <w:r>
        <w:rPr>
          <w:sz w:val="24"/>
        </w:rPr>
      </w:r>
    </w:p>
    <w:p>
      <w:pPr>
        <w:pStyle w:val="Normal"/>
        <w:tabs>
          <w:tab w:val="clear" w:pos="720"/>
          <w:tab w:val="left" w:pos="3572" w:leader="none"/>
          <w:tab w:val="left" w:pos="5273" w:leader="none"/>
          <w:tab w:val="left" w:pos="8392" w:leader="none"/>
        </w:tabs>
        <w:ind w:start="1440" w:end="0"/>
        <w:rPr>
          <w:sz w:val="24"/>
        </w:rPr>
      </w:pPr>
      <w:r>
        <w:rPr>
          <w:sz w:val="24"/>
        </w:rPr>
      </w:r>
    </w:p>
    <w:p>
      <w:pPr>
        <w:pStyle w:val="Normal"/>
        <w:tabs>
          <w:tab w:val="clear" w:pos="720"/>
          <w:tab w:val="left" w:pos="3572" w:leader="none"/>
          <w:tab w:val="left" w:pos="5273" w:leader="none"/>
          <w:tab w:val="left" w:pos="8392" w:leader="none"/>
        </w:tabs>
        <w:ind w:start="1440" w:end="0"/>
        <w:rPr>
          <w:sz w:val="24"/>
        </w:rPr>
      </w:pPr>
      <w:r>
        <w:rPr>
          <w:sz w:val="24"/>
        </w:rPr>
        <w:t>*ENRON holds a key leadership position.</w:t>
      </w:r>
      <w:r>
        <w:br w:type="page"/>
      </w:r>
    </w:p>
    <w:p>
      <w:pPr>
        <w:pStyle w:val="Normal"/>
        <w:tabs>
          <w:tab w:val="clear" w:pos="720"/>
          <w:tab w:val="left" w:pos="3572" w:leader="none"/>
          <w:tab w:val="left" w:pos="5273" w:leader="none"/>
          <w:tab w:val="left" w:pos="8392" w:leader="none"/>
        </w:tabs>
        <w:ind w:start="1440" w:end="0"/>
        <w:rPr>
          <w:b/>
          <w:sz w:val="24"/>
        </w:rPr>
      </w:pPr>
      <w:r>
        <w:rPr>
          <w:b/>
          <w:sz w:val="24"/>
        </w:rPr>
        <w:t xml:space="preserve">Domestic </w:t>
      </w:r>
    </w:p>
    <w:p>
      <w:pPr>
        <w:pStyle w:val="Normal"/>
        <w:tabs>
          <w:tab w:val="clear" w:pos="720"/>
          <w:tab w:val="left" w:pos="3572" w:leader="none"/>
          <w:tab w:val="left" w:pos="5273" w:leader="none"/>
          <w:tab w:val="left" w:pos="8392" w:leader="none"/>
        </w:tabs>
        <w:ind w:start="1440" w:end="0"/>
        <w:rPr>
          <w:b/>
          <w:sz w:val="24"/>
        </w:rPr>
      </w:pPr>
      <w:r>
        <w:rPr>
          <w:b/>
          <w:sz w:val="24"/>
        </w:rPr>
      </w:r>
    </w:p>
    <w:p>
      <w:pPr>
        <w:pStyle w:val="Normal"/>
        <w:tabs>
          <w:tab w:val="clear" w:pos="720"/>
          <w:tab w:val="left" w:pos="3572" w:leader="none"/>
          <w:tab w:val="left" w:pos="5273" w:leader="none"/>
          <w:tab w:val="left" w:pos="8392" w:leader="none"/>
        </w:tabs>
        <w:ind w:start="1440" w:end="0"/>
        <w:rPr>
          <w:sz w:val="24"/>
        </w:rPr>
      </w:pPr>
      <w:r>
        <w:rPr>
          <w:sz w:val="24"/>
        </w:rPr>
        <w:t>AB1890</w:t>
      </w:r>
    </w:p>
    <w:p>
      <w:pPr>
        <w:pStyle w:val="Normal"/>
        <w:ind w:start="1440" w:end="0"/>
        <w:rPr>
          <w:sz w:val="24"/>
        </w:rPr>
      </w:pPr>
      <w:r>
        <w:rPr>
          <w:sz w:val="24"/>
        </w:rPr>
        <w:t>Air Conditioning Association of America</w:t>
      </w:r>
    </w:p>
    <w:p>
      <w:pPr>
        <w:pStyle w:val="Normal"/>
        <w:tabs>
          <w:tab w:val="clear" w:pos="720"/>
          <w:tab w:val="left" w:pos="3686" w:leader="none"/>
        </w:tabs>
        <w:ind w:start="1440" w:end="0"/>
        <w:rPr>
          <w:sz w:val="24"/>
        </w:rPr>
      </w:pPr>
      <w:r>
        <w:rPr>
          <w:sz w:val="24"/>
        </w:rPr>
        <w:t>Alliance to Save Energy</w:t>
      </w:r>
    </w:p>
    <w:p>
      <w:pPr>
        <w:pStyle w:val="Normal"/>
        <w:tabs>
          <w:tab w:val="clear" w:pos="720"/>
          <w:tab w:val="left" w:pos="3686" w:leader="none"/>
        </w:tabs>
        <w:ind w:start="1440" w:end="0"/>
        <w:rPr>
          <w:sz w:val="24"/>
        </w:rPr>
      </w:pPr>
      <w:r>
        <w:rPr>
          <w:sz w:val="24"/>
        </w:rPr>
        <w:t xml:space="preserve">American Association of School Administrators </w:t>
      </w:r>
    </w:p>
    <w:p>
      <w:pPr>
        <w:pStyle w:val="Normal"/>
        <w:tabs>
          <w:tab w:val="clear" w:pos="720"/>
          <w:tab w:val="left" w:pos="3572" w:leader="none"/>
          <w:tab w:val="left" w:pos="5273" w:leader="none"/>
          <w:tab w:val="left" w:pos="8392" w:leader="none"/>
        </w:tabs>
        <w:ind w:start="1440" w:end="0"/>
        <w:rPr>
          <w:sz w:val="24"/>
        </w:rPr>
      </w:pPr>
      <w:r>
        <w:rPr>
          <w:sz w:val="24"/>
        </w:rPr>
        <w:t>American Consulting Engineers Council</w:t>
      </w:r>
    </w:p>
    <w:p>
      <w:pPr>
        <w:pStyle w:val="Normal"/>
        <w:tabs>
          <w:tab w:val="clear" w:pos="720"/>
          <w:tab w:val="left" w:pos="3686" w:leader="none"/>
        </w:tabs>
        <w:ind w:start="1440" w:end="0"/>
        <w:rPr>
          <w:sz w:val="24"/>
        </w:rPr>
      </w:pPr>
      <w:r>
        <w:rPr>
          <w:sz w:val="24"/>
        </w:rPr>
        <w:t>American Enterprise Institute for Public Policy*</w:t>
      </w:r>
    </w:p>
    <w:p>
      <w:pPr>
        <w:pStyle w:val="Normal"/>
        <w:ind w:start="1440" w:end="0"/>
        <w:rPr>
          <w:sz w:val="24"/>
        </w:rPr>
      </w:pPr>
      <w:r>
        <w:rPr>
          <w:sz w:val="24"/>
        </w:rPr>
        <w:t>American Gas Association</w:t>
      </w:r>
    </w:p>
    <w:p>
      <w:pPr>
        <w:pStyle w:val="Normal"/>
        <w:tabs>
          <w:tab w:val="clear" w:pos="720"/>
          <w:tab w:val="left" w:pos="3686" w:leader="none"/>
        </w:tabs>
        <w:ind w:start="1440" w:end="0"/>
        <w:rPr>
          <w:sz w:val="24"/>
        </w:rPr>
      </w:pPr>
      <w:r>
        <w:rPr>
          <w:sz w:val="24"/>
        </w:rPr>
        <w:t>American Petroleum Institute (API)</w:t>
      </w:r>
    </w:p>
    <w:p>
      <w:pPr>
        <w:pStyle w:val="Normal"/>
        <w:tabs>
          <w:tab w:val="clear" w:pos="720"/>
          <w:tab w:val="left" w:pos="3572" w:leader="none"/>
          <w:tab w:val="left" w:pos="5273" w:leader="none"/>
          <w:tab w:val="left" w:pos="8392" w:leader="none"/>
        </w:tabs>
        <w:ind w:start="1440" w:end="0"/>
        <w:rPr>
          <w:sz w:val="24"/>
        </w:rPr>
      </w:pPr>
      <w:r>
        <w:rPr>
          <w:sz w:val="24"/>
        </w:rPr>
        <w:t>American Public Power Association (APPA)</w:t>
      </w:r>
    </w:p>
    <w:p>
      <w:pPr>
        <w:pStyle w:val="Normal"/>
        <w:tabs>
          <w:tab w:val="clear" w:pos="720"/>
          <w:tab w:val="left" w:pos="3572" w:leader="none"/>
          <w:tab w:val="left" w:pos="5273" w:leader="none"/>
          <w:tab w:val="left" w:pos="8392" w:leader="none"/>
        </w:tabs>
        <w:ind w:start="1440" w:end="0"/>
        <w:rPr>
          <w:sz w:val="24"/>
        </w:rPr>
      </w:pPr>
      <w:r>
        <w:rPr>
          <w:sz w:val="24"/>
        </w:rPr>
        <w:t>American Wind Energy Association</w:t>
      </w:r>
    </w:p>
    <w:p>
      <w:pPr>
        <w:pStyle w:val="Normal"/>
        <w:tabs>
          <w:tab w:val="clear" w:pos="720"/>
          <w:tab w:val="left" w:pos="3686" w:leader="none"/>
        </w:tabs>
        <w:ind w:start="1440" w:end="0"/>
        <w:rPr>
          <w:sz w:val="24"/>
        </w:rPr>
      </w:pPr>
      <w:r>
        <w:rPr>
          <w:sz w:val="24"/>
        </w:rPr>
        <w:t>Americans for Affordable Energy* (AAE)</w:t>
      </w:r>
    </w:p>
    <w:p>
      <w:pPr>
        <w:pStyle w:val="Normal"/>
        <w:ind w:start="1440" w:end="0"/>
        <w:rPr>
          <w:sz w:val="24"/>
        </w:rPr>
      </w:pPr>
      <w:r>
        <w:rPr>
          <w:sz w:val="24"/>
        </w:rPr>
        <w:t>Americans for Tax Reform</w:t>
      </w:r>
    </w:p>
    <w:p>
      <w:pPr>
        <w:pStyle w:val="Normal"/>
        <w:tabs>
          <w:tab w:val="clear" w:pos="720"/>
          <w:tab w:val="left" w:pos="3572" w:leader="none"/>
          <w:tab w:val="left" w:pos="5273" w:leader="none"/>
          <w:tab w:val="left" w:pos="8392" w:leader="none"/>
        </w:tabs>
        <w:ind w:start="1440" w:end="0"/>
        <w:rPr>
          <w:sz w:val="24"/>
        </w:rPr>
      </w:pPr>
      <w:r>
        <w:rPr>
          <w:sz w:val="24"/>
        </w:rPr>
        <w:t>Association of Oil Pipelines (AOPL)</w:t>
      </w:r>
    </w:p>
    <w:p>
      <w:pPr>
        <w:pStyle w:val="Normal"/>
        <w:tabs>
          <w:tab w:val="clear" w:pos="720"/>
          <w:tab w:val="left" w:pos="3686" w:leader="none"/>
        </w:tabs>
        <w:ind w:start="1440" w:end="0"/>
        <w:rPr>
          <w:sz w:val="24"/>
        </w:rPr>
      </w:pPr>
      <w:r>
        <w:rPr>
          <w:sz w:val="24"/>
        </w:rPr>
        <w:t>Association of Private Pension and Welfare Plans (APPWP)</w:t>
      </w:r>
    </w:p>
    <w:p>
      <w:pPr>
        <w:pStyle w:val="Normal"/>
        <w:tabs>
          <w:tab w:val="clear" w:pos="720"/>
          <w:tab w:val="left" w:pos="3686" w:leader="none"/>
        </w:tabs>
        <w:ind w:start="1440" w:end="0"/>
        <w:rPr>
          <w:sz w:val="24"/>
        </w:rPr>
      </w:pPr>
      <w:r>
        <w:rPr>
          <w:sz w:val="24"/>
        </w:rPr>
        <w:t>Business Council for Sustainable Energy*</w:t>
      </w:r>
    </w:p>
    <w:p>
      <w:pPr>
        <w:pStyle w:val="Normal"/>
        <w:tabs>
          <w:tab w:val="clear" w:pos="720"/>
          <w:tab w:val="left" w:pos="3686" w:leader="none"/>
        </w:tabs>
        <w:ind w:start="1440" w:end="0"/>
        <w:rPr>
          <w:sz w:val="24"/>
        </w:rPr>
      </w:pPr>
      <w:r>
        <w:rPr>
          <w:sz w:val="24"/>
        </w:rPr>
        <w:t>Business Leadership Trust</w:t>
      </w:r>
    </w:p>
    <w:p>
      <w:pPr>
        <w:pStyle w:val="Normal"/>
        <w:tabs>
          <w:tab w:val="clear" w:pos="720"/>
          <w:tab w:val="left" w:pos="3686" w:leader="none"/>
        </w:tabs>
        <w:ind w:start="1440" w:end="0"/>
        <w:rPr>
          <w:sz w:val="24"/>
        </w:rPr>
      </w:pPr>
      <w:r>
        <w:rPr>
          <w:sz w:val="24"/>
        </w:rPr>
        <w:t xml:space="preserve">CATO </w:t>
      </w:r>
    </w:p>
    <w:p>
      <w:pPr>
        <w:pStyle w:val="Normal"/>
        <w:tabs>
          <w:tab w:val="clear" w:pos="720"/>
          <w:tab w:val="left" w:pos="3686" w:leader="none"/>
        </w:tabs>
        <w:ind w:start="1440" w:end="0"/>
        <w:rPr>
          <w:sz w:val="24"/>
        </w:rPr>
      </w:pPr>
      <w:r>
        <w:rPr>
          <w:sz w:val="24"/>
        </w:rPr>
        <w:t xml:space="preserve">Citizens for a Sound Economy </w:t>
      </w:r>
    </w:p>
    <w:p>
      <w:pPr>
        <w:pStyle w:val="Normal"/>
        <w:tabs>
          <w:tab w:val="clear" w:pos="720"/>
          <w:tab w:val="left" w:pos="3686" w:leader="none"/>
        </w:tabs>
        <w:ind w:start="1440" w:end="0"/>
        <w:rPr>
          <w:sz w:val="24"/>
        </w:rPr>
      </w:pPr>
      <w:r>
        <w:rPr>
          <w:sz w:val="24"/>
        </w:rPr>
        <w:t>Coalition on Gas Based Environmental Solutions</w:t>
      </w:r>
    </w:p>
    <w:p>
      <w:pPr>
        <w:pStyle w:val="Normal"/>
        <w:tabs>
          <w:tab w:val="clear" w:pos="720"/>
          <w:tab w:val="left" w:pos="3572" w:leader="none"/>
          <w:tab w:val="left" w:pos="5273" w:leader="none"/>
          <w:tab w:val="left" w:pos="8392" w:leader="none"/>
        </w:tabs>
        <w:ind w:start="1440" w:end="0"/>
        <w:rPr>
          <w:sz w:val="24"/>
        </w:rPr>
      </w:pPr>
      <w:r>
        <w:rPr>
          <w:sz w:val="24"/>
        </w:rPr>
        <w:t>Coalition on Occupational Safety and Health (COSH)</w:t>
      </w:r>
    </w:p>
    <w:p>
      <w:pPr>
        <w:pStyle w:val="Normal"/>
        <w:tabs>
          <w:tab w:val="clear" w:pos="720"/>
          <w:tab w:val="left" w:pos="3686" w:leader="none"/>
        </w:tabs>
        <w:ind w:start="1440" w:end="0"/>
        <w:rPr>
          <w:sz w:val="24"/>
        </w:rPr>
      </w:pPr>
      <w:r>
        <w:rPr>
          <w:sz w:val="24"/>
        </w:rPr>
        <w:t>Consumer Federation of America</w:t>
      </w:r>
    </w:p>
    <w:p>
      <w:pPr>
        <w:pStyle w:val="Normal"/>
        <w:tabs>
          <w:tab w:val="clear" w:pos="720"/>
          <w:tab w:val="left" w:pos="3686" w:leader="none"/>
        </w:tabs>
        <w:ind w:start="1440" w:end="0"/>
        <w:rPr>
          <w:sz w:val="24"/>
        </w:rPr>
      </w:pPr>
      <w:r>
        <w:rPr>
          <w:sz w:val="24"/>
        </w:rPr>
        <w:t>Consumers for Fair Competition</w:t>
      </w:r>
    </w:p>
    <w:p>
      <w:pPr>
        <w:pStyle w:val="Normal"/>
        <w:tabs>
          <w:tab w:val="clear" w:pos="720"/>
          <w:tab w:val="left" w:pos="3686" w:leader="none"/>
        </w:tabs>
        <w:ind w:start="1440" w:end="0"/>
        <w:rPr>
          <w:sz w:val="24"/>
        </w:rPr>
      </w:pPr>
      <w:r>
        <w:rPr>
          <w:sz w:val="24"/>
        </w:rPr>
        <w:t>CURE</w:t>
      </w:r>
    </w:p>
    <w:p>
      <w:pPr>
        <w:pStyle w:val="Normal"/>
        <w:tabs>
          <w:tab w:val="clear" w:pos="720"/>
          <w:tab w:val="left" w:pos="3686" w:leader="none"/>
        </w:tabs>
        <w:ind w:start="1440" w:end="0"/>
        <w:rPr>
          <w:sz w:val="24"/>
        </w:rPr>
      </w:pPr>
      <w:r>
        <w:rPr>
          <w:sz w:val="24"/>
        </w:rPr>
        <w:t xml:space="preserve">Domestic Petroleum Council (DPC) </w:t>
      </w:r>
    </w:p>
    <w:p>
      <w:pPr>
        <w:pStyle w:val="Normal"/>
        <w:tabs>
          <w:tab w:val="clear" w:pos="720"/>
          <w:tab w:val="left" w:pos="3572" w:leader="none"/>
          <w:tab w:val="left" w:pos="5273" w:leader="none"/>
          <w:tab w:val="left" w:pos="8392" w:leader="none"/>
        </w:tabs>
        <w:ind w:start="1440" w:end="0"/>
        <w:rPr>
          <w:sz w:val="24"/>
        </w:rPr>
      </w:pPr>
      <w:r>
        <w:rPr>
          <w:sz w:val="24"/>
        </w:rPr>
        <w:t>Edison Electric Institute (EEI)</w:t>
      </w:r>
    </w:p>
    <w:p>
      <w:pPr>
        <w:pStyle w:val="Normal"/>
        <w:tabs>
          <w:tab w:val="clear" w:pos="720"/>
          <w:tab w:val="left" w:pos="3686" w:leader="none"/>
        </w:tabs>
        <w:ind w:start="1440" w:end="0"/>
        <w:rPr>
          <w:sz w:val="24"/>
        </w:rPr>
      </w:pPr>
      <w:r>
        <w:rPr>
          <w:sz w:val="24"/>
        </w:rPr>
        <w:t xml:space="preserve">ELCON </w:t>
      </w:r>
    </w:p>
    <w:p>
      <w:pPr>
        <w:pStyle w:val="Normal"/>
        <w:tabs>
          <w:tab w:val="clear" w:pos="720"/>
          <w:tab w:val="left" w:pos="3572" w:leader="none"/>
          <w:tab w:val="left" w:pos="5273" w:leader="none"/>
          <w:tab w:val="left" w:pos="8392" w:leader="none"/>
        </w:tabs>
        <w:ind w:start="1440" w:end="0"/>
        <w:rPr>
          <w:sz w:val="24"/>
        </w:rPr>
      </w:pPr>
      <w:r>
        <w:rPr>
          <w:sz w:val="24"/>
        </w:rPr>
        <w:t>Electric Power Supply Association* (EPSA)</w:t>
      </w:r>
    </w:p>
    <w:p>
      <w:pPr>
        <w:pStyle w:val="Normal"/>
        <w:tabs>
          <w:tab w:val="clear" w:pos="720"/>
          <w:tab w:val="left" w:pos="3572" w:leader="none"/>
          <w:tab w:val="left" w:pos="5273" w:leader="none"/>
          <w:tab w:val="left" w:pos="8392" w:leader="none"/>
        </w:tabs>
        <w:ind w:start="1440" w:end="0"/>
        <w:rPr>
          <w:sz w:val="24"/>
        </w:rPr>
      </w:pPr>
      <w:r>
        <w:rPr>
          <w:sz w:val="24"/>
        </w:rPr>
        <w:t>Energy Coalition* (On Derivatives)</w:t>
      </w:r>
    </w:p>
    <w:p>
      <w:pPr>
        <w:pStyle w:val="Normal"/>
        <w:tabs>
          <w:tab w:val="clear" w:pos="720"/>
          <w:tab w:val="left" w:pos="3686" w:leader="none"/>
        </w:tabs>
        <w:ind w:start="1440" w:end="0"/>
        <w:rPr>
          <w:sz w:val="24"/>
        </w:rPr>
      </w:pPr>
      <w:r>
        <w:rPr>
          <w:sz w:val="24"/>
        </w:rPr>
        <w:t>ERIC (ERISA Industry Committee)</w:t>
      </w:r>
    </w:p>
    <w:p>
      <w:pPr>
        <w:pStyle w:val="Normal"/>
        <w:tabs>
          <w:tab w:val="clear" w:pos="720"/>
          <w:tab w:val="left" w:pos="3686" w:leader="none"/>
        </w:tabs>
        <w:ind w:start="1440" w:end="0"/>
        <w:rPr>
          <w:sz w:val="24"/>
        </w:rPr>
      </w:pPr>
      <w:r>
        <w:rPr>
          <w:sz w:val="24"/>
        </w:rPr>
        <w:t>ESOP Association</w:t>
      </w:r>
    </w:p>
    <w:p>
      <w:pPr>
        <w:pStyle w:val="Normal"/>
        <w:tabs>
          <w:tab w:val="clear" w:pos="720"/>
          <w:tab w:val="left" w:pos="3686" w:leader="none"/>
        </w:tabs>
        <w:ind w:start="1440" w:end="0"/>
        <w:rPr>
          <w:sz w:val="24"/>
        </w:rPr>
      </w:pPr>
      <w:r>
        <w:rPr>
          <w:sz w:val="24"/>
        </w:rPr>
        <w:t>Gas Processors Association</w:t>
      </w:r>
    </w:p>
    <w:p>
      <w:pPr>
        <w:pStyle w:val="Normal"/>
        <w:tabs>
          <w:tab w:val="clear" w:pos="720"/>
          <w:tab w:val="left" w:pos="3686" w:leader="none"/>
        </w:tabs>
        <w:ind w:start="1440" w:end="0"/>
        <w:rPr>
          <w:sz w:val="24"/>
        </w:rPr>
      </w:pPr>
      <w:r>
        <w:rPr>
          <w:sz w:val="24"/>
        </w:rPr>
        <w:t xml:space="preserve">GRI </w:t>
      </w:r>
    </w:p>
    <w:p>
      <w:pPr>
        <w:pStyle w:val="Normal"/>
        <w:tabs>
          <w:tab w:val="clear" w:pos="720"/>
          <w:tab w:val="left" w:pos="3572" w:leader="none"/>
          <w:tab w:val="left" w:pos="5273" w:leader="none"/>
          <w:tab w:val="left" w:pos="8392" w:leader="none"/>
        </w:tabs>
        <w:ind w:start="1440" w:end="0"/>
        <w:rPr>
          <w:sz w:val="24"/>
        </w:rPr>
      </w:pPr>
      <w:r>
        <w:rPr>
          <w:sz w:val="24"/>
        </w:rPr>
        <w:t>Heritage Foundation</w:t>
      </w:r>
    </w:p>
    <w:p>
      <w:pPr>
        <w:pStyle w:val="Normal"/>
        <w:tabs>
          <w:tab w:val="clear" w:pos="720"/>
          <w:tab w:val="left" w:pos="3572" w:leader="none"/>
          <w:tab w:val="left" w:pos="5273" w:leader="none"/>
          <w:tab w:val="left" w:pos="8392" w:leader="none"/>
        </w:tabs>
        <w:ind w:start="1440" w:end="0"/>
        <w:rPr>
          <w:sz w:val="24"/>
        </w:rPr>
      </w:pPr>
      <w:r>
        <w:rPr>
          <w:sz w:val="24"/>
        </w:rPr>
        <w:t>Independent Petroleum Association of America (IPAA)</w:t>
      </w:r>
    </w:p>
    <w:p>
      <w:pPr>
        <w:pStyle w:val="Normal"/>
        <w:tabs>
          <w:tab w:val="clear" w:pos="720"/>
          <w:tab w:val="left" w:pos="3572" w:leader="none"/>
          <w:tab w:val="left" w:pos="5273" w:leader="none"/>
          <w:tab w:val="left" w:pos="8392" w:leader="none"/>
        </w:tabs>
        <w:ind w:start="1440" w:end="0"/>
        <w:rPr>
          <w:sz w:val="24"/>
        </w:rPr>
      </w:pPr>
      <w:r>
        <w:rPr>
          <w:sz w:val="24"/>
        </w:rPr>
        <w:t>Industry Coalition on Hydropower</w:t>
      </w:r>
    </w:p>
    <w:p>
      <w:pPr>
        <w:pStyle w:val="Normal"/>
        <w:tabs>
          <w:tab w:val="clear" w:pos="720"/>
          <w:tab w:val="left" w:pos="3572" w:leader="none"/>
          <w:tab w:val="left" w:pos="5273" w:leader="none"/>
          <w:tab w:val="left" w:pos="8392" w:leader="none"/>
        </w:tabs>
        <w:ind w:start="1440" w:end="0"/>
        <w:rPr>
          <w:sz w:val="24"/>
        </w:rPr>
      </w:pPr>
      <w:r>
        <w:rPr>
          <w:sz w:val="24"/>
        </w:rPr>
        <w:t>International Swaps and Derivatives Association (ISDA)</w:t>
      </w:r>
    </w:p>
    <w:p>
      <w:pPr>
        <w:pStyle w:val="Normal"/>
        <w:tabs>
          <w:tab w:val="clear" w:pos="720"/>
          <w:tab w:val="left" w:pos="3572" w:leader="none"/>
          <w:tab w:val="left" w:pos="5273" w:leader="none"/>
          <w:tab w:val="left" w:pos="8392" w:leader="none"/>
        </w:tabs>
        <w:ind w:start="1440" w:end="0"/>
        <w:rPr>
          <w:sz w:val="24"/>
        </w:rPr>
      </w:pPr>
      <w:r>
        <w:rPr>
          <w:sz w:val="24"/>
        </w:rPr>
        <w:t>League of Public Power</w:t>
      </w:r>
    </w:p>
    <w:p>
      <w:pPr>
        <w:pStyle w:val="Normal"/>
        <w:tabs>
          <w:tab w:val="clear" w:pos="720"/>
          <w:tab w:val="left" w:pos="3572" w:leader="none"/>
          <w:tab w:val="left" w:pos="5273" w:leader="none"/>
          <w:tab w:val="left" w:pos="8392" w:leader="none"/>
        </w:tabs>
        <w:ind w:start="1440" w:end="0"/>
        <w:rPr>
          <w:sz w:val="24"/>
        </w:rPr>
      </w:pPr>
      <w:r>
        <w:rPr>
          <w:sz w:val="24"/>
        </w:rPr>
        <w:t>NARUC</w:t>
      </w:r>
    </w:p>
    <w:p>
      <w:pPr>
        <w:pStyle w:val="Normal"/>
        <w:tabs>
          <w:tab w:val="clear" w:pos="720"/>
          <w:tab w:val="left" w:pos="3686" w:leader="none"/>
        </w:tabs>
        <w:ind w:start="1440" w:end="0"/>
        <w:rPr>
          <w:sz w:val="24"/>
        </w:rPr>
      </w:pPr>
      <w:r>
        <w:rPr>
          <w:sz w:val="24"/>
        </w:rPr>
        <w:t>National Association of Manufacturers*</w:t>
      </w:r>
    </w:p>
    <w:p>
      <w:pPr>
        <w:pStyle w:val="Normal"/>
        <w:tabs>
          <w:tab w:val="clear" w:pos="720"/>
          <w:tab w:val="left" w:pos="3572" w:leader="none"/>
          <w:tab w:val="left" w:pos="5273" w:leader="none"/>
          <w:tab w:val="left" w:pos="8392" w:leader="none"/>
        </w:tabs>
        <w:ind w:start="1440" w:end="0"/>
        <w:rPr>
          <w:sz w:val="24"/>
        </w:rPr>
      </w:pPr>
      <w:r>
        <w:rPr>
          <w:sz w:val="24"/>
        </w:rPr>
        <w:t>National Coalition on Ergonomics</w:t>
      </w:r>
    </w:p>
    <w:p>
      <w:pPr>
        <w:pStyle w:val="Normal"/>
        <w:tabs>
          <w:tab w:val="clear" w:pos="720"/>
          <w:tab w:val="left" w:pos="3686" w:leader="none"/>
        </w:tabs>
        <w:ind w:start="1440" w:end="0"/>
        <w:rPr>
          <w:sz w:val="24"/>
        </w:rPr>
      </w:pPr>
      <w:r>
        <w:rPr>
          <w:sz w:val="24"/>
        </w:rPr>
        <w:t>National Democratic Institute*</w:t>
      </w:r>
    </w:p>
    <w:p>
      <w:pPr>
        <w:pStyle w:val="Normal"/>
        <w:tabs>
          <w:tab w:val="clear" w:pos="720"/>
          <w:tab w:val="left" w:pos="3686" w:leader="none"/>
        </w:tabs>
        <w:ind w:start="1440" w:end="0"/>
        <w:rPr>
          <w:sz w:val="24"/>
        </w:rPr>
      </w:pPr>
      <w:r>
        <w:rPr>
          <w:sz w:val="24"/>
        </w:rPr>
        <w:t>National Energy Resources Organizations* (NERO)</w:t>
      </w:r>
    </w:p>
    <w:p>
      <w:pPr>
        <w:pStyle w:val="Normal"/>
        <w:tabs>
          <w:tab w:val="clear" w:pos="720"/>
          <w:tab w:val="left" w:pos="3686" w:leader="none"/>
        </w:tabs>
        <w:ind w:start="1440" w:end="0"/>
        <w:rPr>
          <w:sz w:val="24"/>
        </w:rPr>
      </w:pPr>
      <w:r>
        <w:rPr>
          <w:sz w:val="24"/>
        </w:rPr>
        <w:t>National Foundation of Women Legislators</w:t>
      </w:r>
    </w:p>
    <w:p>
      <w:pPr>
        <w:pStyle w:val="Normal"/>
        <w:tabs>
          <w:tab w:val="clear" w:pos="720"/>
          <w:tab w:val="left" w:pos="3686" w:leader="none"/>
        </w:tabs>
        <w:ind w:start="1440" w:end="0"/>
        <w:rPr>
          <w:sz w:val="24"/>
        </w:rPr>
      </w:pPr>
      <w:r>
        <w:rPr>
          <w:sz w:val="24"/>
        </w:rPr>
        <w:t>National Gas Supply Association (NGSA)</w:t>
      </w:r>
    </w:p>
    <w:p>
      <w:pPr>
        <w:pStyle w:val="Normal"/>
        <w:tabs>
          <w:tab w:val="clear" w:pos="720"/>
          <w:tab w:val="left" w:pos="3686" w:leader="none"/>
        </w:tabs>
        <w:ind w:start="1440" w:end="0"/>
        <w:rPr>
          <w:sz w:val="24"/>
        </w:rPr>
      </w:pPr>
      <w:r>
        <w:rPr>
          <w:sz w:val="24"/>
        </w:rPr>
        <w:t xml:space="preserve">National Governors Association </w:t>
      </w:r>
    </w:p>
    <w:p>
      <w:pPr>
        <w:pStyle w:val="Normal"/>
        <w:tabs>
          <w:tab w:val="clear" w:pos="720"/>
          <w:tab w:val="left" w:pos="3572" w:leader="none"/>
          <w:tab w:val="left" w:pos="5273" w:leader="none"/>
          <w:tab w:val="left" w:pos="8392" w:leader="none"/>
        </w:tabs>
        <w:ind w:start="1440" w:end="0"/>
        <w:rPr>
          <w:sz w:val="24"/>
        </w:rPr>
      </w:pPr>
      <w:r>
        <w:rPr>
          <w:sz w:val="24"/>
        </w:rPr>
        <w:t>National Hydropower Association</w:t>
      </w:r>
    </w:p>
    <w:p>
      <w:pPr>
        <w:pStyle w:val="Normal"/>
        <w:tabs>
          <w:tab w:val="clear" w:pos="720"/>
          <w:tab w:val="left" w:pos="3572" w:leader="none"/>
          <w:tab w:val="left" w:pos="5273" w:leader="none"/>
          <w:tab w:val="left" w:pos="8392" w:leader="none"/>
        </w:tabs>
        <w:ind w:start="1440" w:end="0"/>
        <w:rPr>
          <w:sz w:val="24"/>
        </w:rPr>
      </w:pPr>
      <w:r>
        <w:rPr>
          <w:sz w:val="24"/>
        </w:rPr>
        <w:t>National League of Cities</w:t>
      </w:r>
    </w:p>
    <w:p>
      <w:pPr>
        <w:pStyle w:val="Normal"/>
        <w:tabs>
          <w:tab w:val="clear" w:pos="720"/>
          <w:tab w:val="left" w:pos="3686" w:leader="none"/>
        </w:tabs>
        <w:ind w:start="1440" w:end="0"/>
        <w:rPr>
          <w:sz w:val="24"/>
        </w:rPr>
      </w:pPr>
      <w:r>
        <w:rPr>
          <w:sz w:val="24"/>
        </w:rPr>
        <w:t xml:space="preserve">National Ocean Industries Association (NOIA) </w:t>
      </w:r>
    </w:p>
    <w:p>
      <w:pPr>
        <w:pStyle w:val="Normal"/>
        <w:tabs>
          <w:tab w:val="clear" w:pos="720"/>
          <w:tab w:val="left" w:pos="3686" w:leader="none"/>
        </w:tabs>
        <w:ind w:start="1440" w:end="0"/>
        <w:rPr>
          <w:sz w:val="24"/>
        </w:rPr>
      </w:pPr>
      <w:r>
        <w:rPr>
          <w:sz w:val="24"/>
        </w:rPr>
        <w:t>National Petroleum Council (NPC)</w:t>
      </w:r>
    </w:p>
    <w:p>
      <w:pPr>
        <w:pStyle w:val="Normal"/>
        <w:tabs>
          <w:tab w:val="clear" w:pos="720"/>
          <w:tab w:val="left" w:pos="3686" w:leader="none"/>
        </w:tabs>
        <w:ind w:start="1440" w:end="0"/>
        <w:rPr>
          <w:sz w:val="24"/>
        </w:rPr>
      </w:pPr>
      <w:r>
        <w:rPr>
          <w:sz w:val="24"/>
        </w:rPr>
        <w:t xml:space="preserve">National Propane Council </w:t>
      </w:r>
    </w:p>
    <w:p>
      <w:pPr>
        <w:pStyle w:val="Normal"/>
        <w:tabs>
          <w:tab w:val="clear" w:pos="720"/>
          <w:tab w:val="left" w:pos="3572" w:leader="none"/>
          <w:tab w:val="left" w:pos="5273" w:leader="none"/>
          <w:tab w:val="left" w:pos="8392" w:leader="none"/>
        </w:tabs>
        <w:ind w:start="1440" w:end="0"/>
        <w:rPr>
          <w:sz w:val="24"/>
        </w:rPr>
      </w:pPr>
      <w:r>
        <w:rPr>
          <w:sz w:val="24"/>
        </w:rPr>
        <w:t>National Resources Defense Council</w:t>
      </w:r>
    </w:p>
    <w:p>
      <w:pPr>
        <w:pStyle w:val="Normal"/>
        <w:tabs>
          <w:tab w:val="clear" w:pos="720"/>
          <w:tab w:val="left" w:pos="3686" w:leader="none"/>
        </w:tabs>
        <w:ind w:start="1440" w:end="0"/>
        <w:rPr>
          <w:sz w:val="24"/>
        </w:rPr>
      </w:pPr>
      <w:r>
        <w:rPr>
          <w:sz w:val="24"/>
        </w:rPr>
        <w:t xml:space="preserve">National Retail Federation </w:t>
      </w:r>
    </w:p>
    <w:p>
      <w:pPr>
        <w:pStyle w:val="Normal"/>
        <w:tabs>
          <w:tab w:val="clear" w:pos="720"/>
          <w:tab w:val="left" w:pos="3686" w:leader="none"/>
        </w:tabs>
        <w:ind w:start="1440" w:end="0"/>
        <w:rPr>
          <w:sz w:val="24"/>
        </w:rPr>
      </w:pPr>
      <w:r>
        <w:rPr>
          <w:sz w:val="24"/>
        </w:rPr>
        <w:t xml:space="preserve">National Taxpayers Union </w:t>
      </w:r>
    </w:p>
    <w:p>
      <w:pPr>
        <w:pStyle w:val="Normal"/>
        <w:tabs>
          <w:tab w:val="clear" w:pos="720"/>
          <w:tab w:val="left" w:pos="3686" w:leader="none"/>
        </w:tabs>
        <w:ind w:start="1440" w:end="0"/>
        <w:rPr>
          <w:sz w:val="24"/>
        </w:rPr>
      </w:pPr>
      <w:r>
        <w:rPr>
          <w:sz w:val="24"/>
        </w:rPr>
        <w:t>National Women’s Council of Elected Officials</w:t>
      </w:r>
    </w:p>
    <w:p>
      <w:pPr>
        <w:pStyle w:val="Normal"/>
        <w:tabs>
          <w:tab w:val="clear" w:pos="720"/>
          <w:tab w:val="left" w:pos="3572" w:leader="none"/>
          <w:tab w:val="left" w:pos="5273" w:leader="none"/>
          <w:tab w:val="left" w:pos="8392" w:leader="none"/>
        </w:tabs>
        <w:ind w:start="1440" w:end="0"/>
        <w:rPr>
          <w:sz w:val="24"/>
        </w:rPr>
      </w:pPr>
      <w:r>
        <w:rPr>
          <w:sz w:val="24"/>
        </w:rPr>
        <w:t>Natural Gas Roundtable</w:t>
      </w:r>
    </w:p>
    <w:p>
      <w:pPr>
        <w:pStyle w:val="Normal"/>
        <w:tabs>
          <w:tab w:val="clear" w:pos="720"/>
          <w:tab w:val="left" w:pos="3572" w:leader="none"/>
          <w:tab w:val="left" w:pos="5273" w:leader="none"/>
          <w:tab w:val="left" w:pos="8392" w:leader="none"/>
        </w:tabs>
        <w:ind w:start="1440" w:end="0"/>
        <w:rPr>
          <w:sz w:val="24"/>
        </w:rPr>
      </w:pPr>
      <w:r>
        <w:rPr>
          <w:sz w:val="24"/>
        </w:rPr>
        <w:t>Natural Gas Supply Association</w:t>
      </w:r>
    </w:p>
    <w:p>
      <w:pPr>
        <w:pStyle w:val="Normal"/>
        <w:tabs>
          <w:tab w:val="clear" w:pos="720"/>
          <w:tab w:val="left" w:pos="3572" w:leader="none"/>
          <w:tab w:val="left" w:pos="5273" w:leader="none"/>
          <w:tab w:val="left" w:pos="8392" w:leader="none"/>
        </w:tabs>
        <w:ind w:start="1440" w:end="0"/>
        <w:rPr>
          <w:sz w:val="24"/>
        </w:rPr>
      </w:pPr>
      <w:r>
        <w:rPr>
          <w:sz w:val="24"/>
        </w:rPr>
        <w:t>Natural Resources Defense Council Electricity Group</w:t>
      </w:r>
    </w:p>
    <w:p>
      <w:pPr>
        <w:pStyle w:val="Normal"/>
        <w:tabs>
          <w:tab w:val="clear" w:pos="720"/>
          <w:tab w:val="left" w:pos="3686" w:leader="none"/>
        </w:tabs>
        <w:ind w:start="1440" w:end="0"/>
        <w:rPr>
          <w:sz w:val="24"/>
        </w:rPr>
      </w:pPr>
      <w:r>
        <w:rPr>
          <w:sz w:val="24"/>
        </w:rPr>
        <w:t xml:space="preserve">Oxygenated Fuels Association (OFA) </w:t>
      </w:r>
    </w:p>
    <w:p>
      <w:pPr>
        <w:pStyle w:val="Normal"/>
        <w:tabs>
          <w:tab w:val="clear" w:pos="720"/>
          <w:tab w:val="left" w:pos="3572" w:leader="none"/>
          <w:tab w:val="left" w:pos="5273" w:leader="none"/>
          <w:tab w:val="left" w:pos="8392" w:leader="none"/>
        </w:tabs>
        <w:ind w:start="1440" w:end="0"/>
        <w:rPr>
          <w:sz w:val="24"/>
        </w:rPr>
      </w:pPr>
      <w:r>
        <w:rPr>
          <w:sz w:val="24"/>
        </w:rPr>
        <w:t>PCC</w:t>
      </w:r>
    </w:p>
    <w:p>
      <w:pPr>
        <w:pStyle w:val="Normal"/>
        <w:tabs>
          <w:tab w:val="clear" w:pos="720"/>
          <w:tab w:val="left" w:pos="3686" w:leader="none"/>
        </w:tabs>
        <w:ind w:start="1440" w:end="0"/>
        <w:rPr>
          <w:sz w:val="24"/>
        </w:rPr>
      </w:pPr>
      <w:r>
        <w:rPr>
          <w:sz w:val="24"/>
        </w:rPr>
        <w:t>Petroleum Equipment Suppliers Association (PESA)</w:t>
      </w:r>
    </w:p>
    <w:p>
      <w:pPr>
        <w:pStyle w:val="Normal"/>
        <w:tabs>
          <w:tab w:val="clear" w:pos="720"/>
          <w:tab w:val="left" w:pos="3572" w:leader="none"/>
          <w:tab w:val="left" w:pos="5273" w:leader="none"/>
          <w:tab w:val="left" w:pos="8392" w:leader="none"/>
        </w:tabs>
        <w:ind w:start="1440" w:end="0"/>
        <w:rPr>
          <w:sz w:val="24"/>
        </w:rPr>
      </w:pPr>
      <w:r>
        <w:rPr>
          <w:sz w:val="24"/>
        </w:rPr>
        <w:t>Pew Center on Climate Change*</w:t>
      </w:r>
    </w:p>
    <w:p>
      <w:pPr>
        <w:pStyle w:val="Normal"/>
        <w:tabs>
          <w:tab w:val="clear" w:pos="720"/>
          <w:tab w:val="left" w:pos="3572" w:leader="none"/>
          <w:tab w:val="left" w:pos="5273" w:leader="none"/>
          <w:tab w:val="left" w:pos="8392" w:leader="none"/>
        </w:tabs>
        <w:ind w:start="1440" w:end="0"/>
        <w:rPr>
          <w:sz w:val="24"/>
        </w:rPr>
      </w:pPr>
      <w:r>
        <w:rPr>
          <w:sz w:val="24"/>
        </w:rPr>
        <w:t>Presidents Council on Sustainable Development*</w:t>
      </w:r>
    </w:p>
    <w:p>
      <w:pPr>
        <w:pStyle w:val="Normal"/>
        <w:tabs>
          <w:tab w:val="clear" w:pos="720"/>
          <w:tab w:val="left" w:pos="3686" w:leader="none"/>
        </w:tabs>
        <w:ind w:start="1440" w:end="0"/>
        <w:rPr>
          <w:sz w:val="24"/>
        </w:rPr>
      </w:pPr>
      <w:r>
        <w:rPr>
          <w:sz w:val="24"/>
        </w:rPr>
        <w:t xml:space="preserve">Public Affairs Council </w:t>
      </w:r>
    </w:p>
    <w:p>
      <w:pPr>
        <w:pStyle w:val="Normal"/>
        <w:tabs>
          <w:tab w:val="clear" w:pos="720"/>
          <w:tab w:val="left" w:pos="3572" w:leader="none"/>
          <w:tab w:val="left" w:pos="5273" w:leader="none"/>
          <w:tab w:val="left" w:pos="8392" w:leader="none"/>
        </w:tabs>
        <w:ind w:start="1440" w:end="0"/>
        <w:rPr>
          <w:sz w:val="24"/>
        </w:rPr>
      </w:pPr>
      <w:r>
        <w:rPr>
          <w:sz w:val="24"/>
        </w:rPr>
        <w:t>Public Citizens</w:t>
      </w:r>
    </w:p>
    <w:p>
      <w:pPr>
        <w:pStyle w:val="Normal"/>
        <w:tabs>
          <w:tab w:val="clear" w:pos="720"/>
          <w:tab w:val="left" w:pos="3572" w:leader="none"/>
          <w:tab w:val="left" w:pos="5273" w:leader="none"/>
          <w:tab w:val="left" w:pos="8392" w:leader="none"/>
        </w:tabs>
        <w:ind w:start="1440" w:end="0"/>
        <w:rPr>
          <w:sz w:val="24"/>
        </w:rPr>
      </w:pPr>
      <w:r>
        <w:rPr>
          <w:sz w:val="24"/>
        </w:rPr>
        <w:t>PUHCA Repeal Now</w:t>
      </w:r>
    </w:p>
    <w:p>
      <w:pPr>
        <w:pStyle w:val="Normal"/>
        <w:tabs>
          <w:tab w:val="clear" w:pos="720"/>
          <w:tab w:val="left" w:pos="3572" w:leader="none"/>
          <w:tab w:val="left" w:pos="5273" w:leader="none"/>
          <w:tab w:val="left" w:pos="8392" w:leader="none"/>
        </w:tabs>
        <w:ind w:start="1440" w:end="0"/>
        <w:rPr>
          <w:sz w:val="24"/>
        </w:rPr>
      </w:pPr>
      <w:r>
        <w:rPr>
          <w:sz w:val="24"/>
        </w:rPr>
        <w:t>PURPA Reform</w:t>
      </w:r>
    </w:p>
    <w:p>
      <w:pPr>
        <w:pStyle w:val="Normal"/>
        <w:tabs>
          <w:tab w:val="clear" w:pos="720"/>
          <w:tab w:val="left" w:pos="3686" w:leader="none"/>
        </w:tabs>
        <w:ind w:start="1440" w:end="0"/>
        <w:rPr>
          <w:sz w:val="24"/>
        </w:rPr>
      </w:pPr>
      <w:r>
        <w:rPr>
          <w:sz w:val="24"/>
        </w:rPr>
        <w:t xml:space="preserve">Republican Governors Association </w:t>
      </w:r>
    </w:p>
    <w:p>
      <w:pPr>
        <w:pStyle w:val="Normal"/>
        <w:ind w:start="1440" w:end="0"/>
        <w:rPr>
          <w:sz w:val="24"/>
        </w:rPr>
      </w:pPr>
      <w:r>
        <w:rPr>
          <w:sz w:val="24"/>
        </w:rPr>
        <w:t>Seniors Coalition</w:t>
      </w:r>
    </w:p>
    <w:p>
      <w:pPr>
        <w:pStyle w:val="Normal"/>
        <w:ind w:start="1440" w:end="0"/>
        <w:rPr>
          <w:sz w:val="24"/>
        </w:rPr>
      </w:pPr>
      <w:r>
        <w:rPr>
          <w:sz w:val="24"/>
        </w:rPr>
        <w:t>State Societies (TX, CT, GA, LA, FL, NE, WA, OR, MT, WY)</w:t>
      </w:r>
    </w:p>
    <w:p>
      <w:pPr>
        <w:pStyle w:val="Normal"/>
        <w:tabs>
          <w:tab w:val="clear" w:pos="720"/>
          <w:tab w:val="left" w:pos="3686" w:leader="none"/>
        </w:tabs>
        <w:ind w:start="1440" w:end="0"/>
        <w:rPr>
          <w:sz w:val="24"/>
        </w:rPr>
      </w:pPr>
      <w:r>
        <w:rPr>
          <w:sz w:val="24"/>
        </w:rPr>
        <w:t xml:space="preserve">United States Energy Association </w:t>
      </w:r>
    </w:p>
    <w:p>
      <w:pPr>
        <w:pStyle w:val="Normal"/>
        <w:tabs>
          <w:tab w:val="clear" w:pos="720"/>
          <w:tab w:val="left" w:pos="3686" w:leader="none"/>
        </w:tabs>
        <w:ind w:start="1440" w:end="0"/>
        <w:rPr>
          <w:sz w:val="24"/>
        </w:rPr>
      </w:pPr>
      <w:r>
        <w:rPr>
          <w:sz w:val="24"/>
        </w:rPr>
        <w:t>US Chamber of Commerce*</w:t>
      </w:r>
    </w:p>
    <w:p>
      <w:pPr>
        <w:pStyle w:val="Normal"/>
        <w:tabs>
          <w:tab w:val="clear" w:pos="720"/>
          <w:tab w:val="left" w:pos="3686" w:leader="none"/>
        </w:tabs>
        <w:ind w:start="1440" w:end="0"/>
        <w:rPr>
          <w:sz w:val="24"/>
        </w:rPr>
      </w:pPr>
      <w:r>
        <w:rPr>
          <w:sz w:val="24"/>
        </w:rPr>
        <w:t>US Oil and Gas Association</w:t>
      </w:r>
    </w:p>
    <w:p>
      <w:pPr>
        <w:pStyle w:val="Normal"/>
        <w:tabs>
          <w:tab w:val="clear" w:pos="720"/>
          <w:tab w:val="left" w:pos="3686" w:leader="none"/>
        </w:tabs>
        <w:ind w:start="1440" w:end="0"/>
        <w:rPr>
          <w:sz w:val="24"/>
        </w:rPr>
      </w:pPr>
      <w:r>
        <w:rPr>
          <w:sz w:val="24"/>
        </w:rPr>
        <w:t>Women in Government Relations</w:t>
      </w:r>
    </w:p>
    <w:p>
      <w:pPr>
        <w:pStyle w:val="Normal"/>
        <w:tabs>
          <w:tab w:val="clear" w:pos="720"/>
          <w:tab w:val="left" w:pos="3686" w:leader="none"/>
        </w:tabs>
        <w:ind w:start="1440" w:end="0"/>
        <w:rPr>
          <w:sz w:val="24"/>
        </w:rPr>
      </w:pPr>
      <w:r>
        <w:rPr>
          <w:sz w:val="24"/>
        </w:rPr>
        <w:t>Women’s Energy and Environment Council</w:t>
      </w:r>
    </w:p>
    <w:p>
      <w:pPr>
        <w:pStyle w:val="Normal"/>
        <w:tabs>
          <w:tab w:val="clear" w:pos="720"/>
          <w:tab w:val="left" w:pos="3572" w:leader="none"/>
          <w:tab w:val="left" w:pos="5273" w:leader="none"/>
          <w:tab w:val="left" w:pos="8392" w:leader="none"/>
        </w:tabs>
        <w:ind w:start="1440" w:end="0"/>
        <w:rPr>
          <w:sz w:val="24"/>
        </w:rPr>
      </w:pPr>
      <w:r>
        <w:rPr>
          <w:sz w:val="24"/>
        </w:rPr>
      </w:r>
    </w:p>
    <w:p>
      <w:pPr>
        <w:pStyle w:val="Normal"/>
        <w:tabs>
          <w:tab w:val="clear" w:pos="720"/>
          <w:tab w:val="left" w:pos="3572" w:leader="none"/>
          <w:tab w:val="left" w:pos="5273" w:leader="none"/>
          <w:tab w:val="left" w:pos="8392" w:leader="none"/>
        </w:tabs>
        <w:ind w:start="1440" w:end="0"/>
        <w:rPr>
          <w:sz w:val="24"/>
        </w:rPr>
      </w:pPr>
      <w:r>
        <w:rPr>
          <w:sz w:val="24"/>
        </w:rPr>
      </w:r>
    </w:p>
    <w:p>
      <w:pPr>
        <w:pStyle w:val="Normal"/>
        <w:tabs>
          <w:tab w:val="clear" w:pos="720"/>
          <w:tab w:val="left" w:pos="3572" w:leader="none"/>
          <w:tab w:val="left" w:pos="5273" w:leader="none"/>
          <w:tab w:val="left" w:pos="8392" w:leader="none"/>
        </w:tabs>
        <w:ind w:start="1440" w:end="0"/>
        <w:rPr>
          <w:sz w:val="24"/>
        </w:rPr>
      </w:pPr>
      <w:r>
        <w:rPr>
          <w:sz w:val="24"/>
        </w:rPr>
      </w:r>
    </w:p>
    <w:p>
      <w:pPr>
        <w:pStyle w:val="Normal"/>
        <w:tabs>
          <w:tab w:val="clear" w:pos="720"/>
          <w:tab w:val="left" w:pos="3572" w:leader="none"/>
          <w:tab w:val="left" w:pos="5273" w:leader="none"/>
          <w:tab w:val="left" w:pos="8392" w:leader="none"/>
        </w:tabs>
        <w:ind w:start="1440" w:end="0"/>
        <w:rPr>
          <w:sz w:val="24"/>
        </w:rPr>
      </w:pPr>
      <w:r>
        <w:rPr>
          <w:sz w:val="24"/>
        </w:rPr>
      </w:r>
    </w:p>
    <w:p>
      <w:pPr>
        <w:pStyle w:val="Normal"/>
        <w:tabs>
          <w:tab w:val="clear" w:pos="720"/>
          <w:tab w:val="left" w:pos="3572" w:leader="none"/>
          <w:tab w:val="left" w:pos="5273" w:leader="none"/>
          <w:tab w:val="left" w:pos="8392" w:leader="none"/>
        </w:tabs>
        <w:ind w:start="1440" w:end="0"/>
        <w:rPr>
          <w:sz w:val="24"/>
        </w:rPr>
      </w:pPr>
      <w:r>
        <w:rPr>
          <w:sz w:val="24"/>
        </w:rPr>
        <w:t>*ENRON holds a key leadership position.</w:t>
      </w:r>
    </w:p>
    <w:p>
      <w:pPr>
        <w:pStyle w:val="Normal"/>
        <w:tabs>
          <w:tab w:val="clear" w:pos="720"/>
          <w:tab w:val="left" w:pos="3686" w:leader="none"/>
        </w:tabs>
        <w:rPr>
          <w:sz w:val="24"/>
        </w:rPr>
      </w:pPr>
      <w:r>
        <w:rPr>
          <w:sz w:val="24"/>
        </w:rPr>
      </w:r>
    </w:p>
    <w:p>
      <w:pPr>
        <w:pStyle w:val="Normal"/>
        <w:rPr>
          <w:sz w:val="24"/>
        </w:rPr>
      </w:pPr>
      <w:r>
        <w:rPr>
          <w:sz w:val="24"/>
        </w:rPr>
      </w:r>
      <w:r>
        <w:br w:type="page"/>
      </w:r>
    </w:p>
    <w:p>
      <w:pPr>
        <w:pStyle w:val="Heading"/>
        <w:spacing w:lineRule="auto" w:line="240"/>
        <w:rPr>
          <w:sz w:val="24"/>
        </w:rPr>
      </w:pPr>
      <w:r>
        <w:rPr>
          <w:sz w:val="24"/>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Normal"/>
        <w:jc w:val="center"/>
        <w:rPr>
          <w:b/>
          <w:color w:val="000000"/>
          <w:sz w:val="40"/>
          <w:lang w:eastAsia="en-US"/>
        </w:rPr>
      </w:pPr>
      <w:r>
        <w:rPr>
          <w:b/>
          <w:color w:val="000000"/>
          <w:sz w:val="40"/>
          <w:lang w:eastAsia="en-US"/>
        </w:rPr>
        <w:t>G.</w:t>
      </w:r>
    </w:p>
    <w:p>
      <w:pPr>
        <w:pStyle w:val="Normal"/>
        <w:jc w:val="center"/>
        <w:rPr>
          <w:b/>
          <w:color w:val="000000"/>
          <w:sz w:val="40"/>
          <w:lang w:eastAsia="en-US"/>
        </w:rPr>
      </w:pPr>
      <w:r>
        <w:rPr>
          <w:b/>
          <w:color w:val="000000"/>
          <w:sz w:val="40"/>
          <w:lang w:eastAsia="en-US"/>
        </w:rPr>
      </w:r>
    </w:p>
    <w:p>
      <w:pPr>
        <w:pStyle w:val="Heading1"/>
        <w:ind w:hanging="0" w:start="0"/>
        <w:rPr>
          <w:rFonts w:ascii="Times New Roman" w:hAnsi="Times New Roman" w:cs="Times New Roman"/>
          <w:sz w:val="40"/>
        </w:rPr>
      </w:pPr>
      <w:r>
        <w:rPr>
          <w:rFonts w:cs="Times New Roman" w:ascii="Times New Roman" w:hAnsi="Times New Roman"/>
          <w:sz w:val="40"/>
        </w:rPr>
        <w:t>Goals for 2000</w:t>
      </w:r>
      <w:r>
        <w:br w:type="page"/>
      </w:r>
    </w:p>
    <w:p>
      <w:pPr>
        <w:pStyle w:val="Normal"/>
        <w:jc w:val="center"/>
        <w:rPr>
          <w:b/>
          <w:sz w:val="24"/>
        </w:rPr>
      </w:pPr>
      <w:r>
        <w:rPr>
          <w:b/>
          <w:sz w:val="24"/>
        </w:rPr>
        <w:t>2000 Goals</w:t>
      </w:r>
    </w:p>
    <w:p>
      <w:pPr>
        <w:pStyle w:val="Normal"/>
        <w:rPr>
          <w:b/>
          <w:sz w:val="24"/>
        </w:rPr>
      </w:pPr>
      <w:r>
        <w:rPr>
          <w:b/>
          <w:sz w:val="24"/>
        </w:rPr>
      </w:r>
    </w:p>
    <w:p>
      <w:pPr>
        <w:pStyle w:val="Normal"/>
        <w:rPr>
          <w:sz w:val="24"/>
        </w:rPr>
      </w:pPr>
      <w:r>
        <w:rPr>
          <w:sz w:val="24"/>
        </w:rPr>
      </w:r>
    </w:p>
    <w:p>
      <w:pPr>
        <w:pStyle w:val="Normal"/>
        <w:ind w:hanging="360" w:start="360" w:end="0"/>
        <w:rPr/>
      </w:pPr>
      <w:r>
        <w:rPr>
          <w:sz w:val="24"/>
        </w:rPr>
        <w:t>1)</w:t>
        <w:tab/>
        <w:t>Participate in consideration of tax matters including foreign tax simplification</w:t>
      </w:r>
      <w:r>
        <w:rPr>
          <w:color w:val="000000"/>
          <w:sz w:val="24"/>
          <w:lang w:eastAsia="en-US"/>
        </w:rPr>
        <w:t xml:space="preserve">, </w:t>
      </w:r>
      <w:r>
        <w:rPr>
          <w:sz w:val="24"/>
        </w:rPr>
        <w:t>new IRS regulations to not prohibit or penalize existing Enron hybrid transactions related to Notice 98-11, Puerto Rico tax proposals, Kansas Ad Valorem tax, Private Use, and Congressional hearings on corporate tax shelters.</w:t>
      </w:r>
    </w:p>
    <w:p>
      <w:pPr>
        <w:pStyle w:val="Normal"/>
        <w:numPr>
          <w:ilvl w:val="0"/>
          <w:numId w:val="40"/>
        </w:numPr>
        <w:rPr>
          <w:sz w:val="24"/>
        </w:rPr>
      </w:pPr>
      <w:r>
        <w:rPr>
          <w:sz w:val="24"/>
        </w:rPr>
        <w:t>Passage of appropriations for OPIC, Ex-Im and TDA.</w:t>
      </w:r>
    </w:p>
    <w:p>
      <w:pPr>
        <w:pStyle w:val="Normal"/>
        <w:numPr>
          <w:ilvl w:val="0"/>
          <w:numId w:val="40"/>
        </w:numPr>
        <w:rPr>
          <w:sz w:val="24"/>
        </w:rPr>
      </w:pPr>
      <w:r>
        <w:rPr>
          <w:sz w:val="24"/>
        </w:rPr>
        <w:t>Support for a reasonable revision of trade sanctions policies.</w:t>
      </w:r>
    </w:p>
    <w:p>
      <w:pPr>
        <w:pStyle w:val="Normal"/>
        <w:numPr>
          <w:ilvl w:val="0"/>
          <w:numId w:val="40"/>
        </w:numPr>
        <w:rPr>
          <w:sz w:val="24"/>
        </w:rPr>
      </w:pPr>
      <w:r>
        <w:rPr>
          <w:sz w:val="24"/>
        </w:rPr>
        <w:t>WTO accession and permanent NTR for China.</w:t>
      </w:r>
    </w:p>
    <w:p>
      <w:pPr>
        <w:pStyle w:val="Normal"/>
        <w:numPr>
          <w:ilvl w:val="0"/>
          <w:numId w:val="40"/>
        </w:numPr>
        <w:rPr>
          <w:sz w:val="24"/>
        </w:rPr>
      </w:pPr>
      <w:r>
        <w:rPr>
          <w:sz w:val="24"/>
        </w:rPr>
        <w:t>Passage of Africa Growth &amp; Opportunity Act, Caribbean Basin Initiative and TAA PGE Trojan initiative.</w:t>
      </w:r>
    </w:p>
    <w:p>
      <w:pPr>
        <w:pStyle w:val="Normal"/>
        <w:numPr>
          <w:ilvl w:val="0"/>
          <w:numId w:val="40"/>
        </w:numPr>
        <w:rPr>
          <w:sz w:val="24"/>
        </w:rPr>
      </w:pPr>
      <w:r>
        <w:rPr>
          <w:sz w:val="24"/>
        </w:rPr>
        <w:t>Enact additional legislation on MTBE duty drawback and enact language allowing stranded cost recovery for domestic MTBE assets if legislation damaging to MTBE markets is enacted.</w:t>
      </w:r>
    </w:p>
    <w:p>
      <w:pPr>
        <w:pStyle w:val="Normal"/>
        <w:numPr>
          <w:ilvl w:val="0"/>
          <w:numId w:val="40"/>
        </w:numPr>
        <w:rPr>
          <w:sz w:val="24"/>
        </w:rPr>
      </w:pPr>
      <w:r>
        <w:rPr>
          <w:sz w:val="24"/>
        </w:rPr>
        <w:t>Defeat any proposals to increase health care employer liability.</w:t>
      </w:r>
    </w:p>
    <w:p>
      <w:pPr>
        <w:pStyle w:val="Normal"/>
        <w:numPr>
          <w:ilvl w:val="0"/>
          <w:numId w:val="40"/>
        </w:numPr>
        <w:rPr>
          <w:sz w:val="24"/>
        </w:rPr>
      </w:pPr>
      <w:r>
        <w:rPr>
          <w:sz w:val="24"/>
        </w:rPr>
        <w:t>Lead the legislative debate on OTC energy derivatives and the Commodity Exchange Act. Seek legal certainty and statutory exclusion from regulation for energy contracts equal to that proposed for all financial derivatives.</w:t>
      </w:r>
    </w:p>
    <w:p>
      <w:pPr>
        <w:pStyle w:val="Normal"/>
        <w:numPr>
          <w:ilvl w:val="0"/>
          <w:numId w:val="40"/>
        </w:numPr>
        <w:rPr>
          <w:sz w:val="24"/>
        </w:rPr>
      </w:pPr>
      <w:r>
        <w:rPr>
          <w:sz w:val="24"/>
        </w:rPr>
        <w:t>Enact Bankruptcy code technical correction for production payments, block DOI oil and gas leasing proposals, enact derivatives language.</w:t>
      </w:r>
    </w:p>
    <w:p>
      <w:pPr>
        <w:pStyle w:val="Normal"/>
        <w:numPr>
          <w:ilvl w:val="0"/>
          <w:numId w:val="40"/>
        </w:numPr>
        <w:rPr>
          <w:sz w:val="24"/>
        </w:rPr>
      </w:pPr>
      <w:r>
        <w:rPr>
          <w:sz w:val="24"/>
        </w:rPr>
        <w:t>Enact two-year pipeline safety reauthorization legislation.</w:t>
      </w:r>
    </w:p>
    <w:p>
      <w:pPr>
        <w:pStyle w:val="Normal"/>
        <w:numPr>
          <w:ilvl w:val="0"/>
          <w:numId w:val="40"/>
        </w:numPr>
        <w:rPr>
          <w:sz w:val="24"/>
        </w:rPr>
      </w:pPr>
      <w:r>
        <w:rPr>
          <w:sz w:val="24"/>
        </w:rPr>
        <w:t>Block or amend Kansas Ad Valorem tax legislation.</w:t>
      </w:r>
    </w:p>
    <w:p>
      <w:pPr>
        <w:pStyle w:val="Normal"/>
        <w:numPr>
          <w:ilvl w:val="0"/>
          <w:numId w:val="40"/>
        </w:numPr>
        <w:rPr>
          <w:sz w:val="24"/>
        </w:rPr>
      </w:pPr>
      <w:r>
        <w:rPr>
          <w:sz w:val="24"/>
        </w:rPr>
        <w:t>Develop Enron positions and enact environmental provisions to benefit Enron in electricity restructuring debate (i.e. RPS, labeling, repeal of coal plant grandfathering, etc.)</w:t>
      </w:r>
    </w:p>
    <w:p>
      <w:pPr>
        <w:pStyle w:val="Normal"/>
        <w:numPr>
          <w:ilvl w:val="0"/>
          <w:numId w:val="40"/>
        </w:numPr>
        <w:rPr>
          <w:sz w:val="24"/>
        </w:rPr>
      </w:pPr>
      <w:r>
        <w:rPr>
          <w:sz w:val="24"/>
        </w:rPr>
        <w:t>Position Enron as leader in market-based solutions in climate change and CAA reauthorization debate.</w:t>
      </w:r>
    </w:p>
    <w:p>
      <w:pPr>
        <w:pStyle w:val="Normal"/>
        <w:numPr>
          <w:ilvl w:val="0"/>
          <w:numId w:val="40"/>
        </w:numPr>
        <w:rPr>
          <w:sz w:val="24"/>
        </w:rPr>
      </w:pPr>
      <w:r>
        <w:rPr>
          <w:sz w:val="24"/>
        </w:rPr>
        <w:t>Develop communications positions and strategy to create an Enron Congressional presence on issue.  Block any damaging tax or regulatory legislation.</w:t>
      </w:r>
    </w:p>
    <w:p>
      <w:pPr>
        <w:pStyle w:val="Normal"/>
        <w:numPr>
          <w:ilvl w:val="0"/>
          <w:numId w:val="40"/>
        </w:numPr>
        <w:rPr>
          <w:sz w:val="24"/>
        </w:rPr>
      </w:pPr>
      <w:r>
        <w:rPr>
          <w:sz w:val="24"/>
        </w:rPr>
        <w:t>Enact comprehensive wholesale electric restructuring and reliability legislation.</w:t>
      </w:r>
    </w:p>
    <w:p>
      <w:pPr>
        <w:pStyle w:val="Normal"/>
        <w:numPr>
          <w:ilvl w:val="0"/>
          <w:numId w:val="40"/>
        </w:numPr>
        <w:rPr>
          <w:sz w:val="24"/>
        </w:rPr>
      </w:pPr>
      <w:r>
        <w:rPr>
          <w:sz w:val="24"/>
        </w:rPr>
        <w:t>Enact legislation to ensure competition in federal government facilities procurement and privatization prevent assertions by states of authority to regulate inside the sovereign fence.</w:t>
      </w:r>
    </w:p>
    <w:p>
      <w:pPr>
        <w:pStyle w:val="Normal"/>
        <w:numPr>
          <w:ilvl w:val="0"/>
          <w:numId w:val="40"/>
        </w:numPr>
        <w:rPr>
          <w:sz w:val="24"/>
        </w:rPr>
      </w:pPr>
      <w:r>
        <w:rPr>
          <w:sz w:val="24"/>
        </w:rPr>
        <w:t>Support GPG on renewal of right-of way with the Navajo Nation.</w:t>
      </w:r>
    </w:p>
    <w:p>
      <w:pPr>
        <w:pStyle w:val="Normal"/>
        <w:numPr>
          <w:ilvl w:val="0"/>
          <w:numId w:val="40"/>
        </w:numPr>
        <w:rPr>
          <w:sz w:val="24"/>
        </w:rPr>
      </w:pPr>
      <w:r>
        <w:rPr>
          <w:sz w:val="24"/>
        </w:rPr>
        <w:t>2000 National Political Conventions – Active participation by Enron including sponsorships of events for elected officials from key states.</w:t>
      </w:r>
    </w:p>
    <w:p>
      <w:pPr>
        <w:pStyle w:val="Normal"/>
        <w:numPr>
          <w:ilvl w:val="0"/>
          <w:numId w:val="40"/>
        </w:numPr>
        <w:rPr>
          <w:sz w:val="24"/>
        </w:rPr>
      </w:pPr>
      <w:r>
        <w:rPr>
          <w:sz w:val="24"/>
        </w:rPr>
        <w:t>Inauguration – Active participation by Enron including sponsorships of events.</w:t>
      </w:r>
    </w:p>
    <w:p>
      <w:pPr>
        <w:pStyle w:val="Normal"/>
        <w:numPr>
          <w:ilvl w:val="0"/>
          <w:numId w:val="40"/>
        </w:numPr>
        <w:rPr>
          <w:sz w:val="24"/>
        </w:rPr>
      </w:pPr>
      <w:r>
        <w:rPr>
          <w:sz w:val="24"/>
        </w:rPr>
        <w:t>Participation in events relating to the organization of the 107</w:t>
      </w:r>
      <w:r>
        <w:rPr>
          <w:sz w:val="24"/>
          <w:vertAlign w:val="superscript"/>
        </w:rPr>
        <w:t>th</w:t>
      </w:r>
      <w:r>
        <w:rPr>
          <w:sz w:val="24"/>
        </w:rPr>
        <w:t xml:space="preserve"> Congress.</w:t>
      </w:r>
    </w:p>
    <w:p>
      <w:pPr>
        <w:pStyle w:val="Normal"/>
        <w:rPr>
          <w:sz w:val="24"/>
        </w:rPr>
      </w:pPr>
      <w:r>
        <w:rPr>
          <w:sz w:val="24"/>
        </w:rPr>
      </w:r>
      <w:r>
        <w:br w:type="page"/>
      </w:r>
    </w:p>
    <w:p>
      <w:pPr>
        <w:pStyle w:val="Heading"/>
        <w:spacing w:lineRule="auto" w:line="240"/>
        <w:rPr>
          <w:sz w:val="24"/>
        </w:rPr>
      </w:pPr>
      <w:r>
        <w:rPr>
          <w:sz w:val="24"/>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Heading"/>
        <w:spacing w:lineRule="auto" w:line="240"/>
        <w:rPr/>
      </w:pPr>
      <w:r>
        <w:rPr/>
      </w:r>
    </w:p>
    <w:p>
      <w:pPr>
        <w:pStyle w:val="Normal"/>
        <w:jc w:val="center"/>
        <w:rPr>
          <w:b/>
          <w:color w:val="000000"/>
          <w:sz w:val="40"/>
          <w:lang w:eastAsia="en-US"/>
        </w:rPr>
      </w:pPr>
      <w:r>
        <w:rPr>
          <w:b/>
          <w:color w:val="000000"/>
          <w:sz w:val="40"/>
          <w:lang w:eastAsia="en-US"/>
        </w:rPr>
        <w:t>H.</w:t>
      </w:r>
    </w:p>
    <w:p>
      <w:pPr>
        <w:pStyle w:val="Normal"/>
        <w:jc w:val="center"/>
        <w:rPr>
          <w:b/>
          <w:color w:val="000000"/>
          <w:sz w:val="40"/>
          <w:lang w:eastAsia="en-US"/>
        </w:rPr>
      </w:pPr>
      <w:r>
        <w:rPr>
          <w:b/>
          <w:color w:val="000000"/>
          <w:sz w:val="40"/>
          <w:lang w:eastAsia="en-US"/>
        </w:rPr>
      </w:r>
    </w:p>
    <w:p>
      <w:pPr>
        <w:pStyle w:val="Heading1"/>
        <w:ind w:hanging="0" w:start="0"/>
        <w:rPr>
          <w:rFonts w:ascii="Times New Roman" w:hAnsi="Times New Roman" w:cs="Times New Roman"/>
          <w:sz w:val="40"/>
        </w:rPr>
      </w:pPr>
      <w:r>
        <w:rPr>
          <w:rFonts w:cs="Times New Roman" w:ascii="Times New Roman" w:hAnsi="Times New Roman"/>
          <w:sz w:val="40"/>
        </w:rPr>
        <w:t>List of Events Organized and Executed</w:t>
      </w:r>
      <w:r>
        <w:br w:type="page"/>
      </w:r>
    </w:p>
    <w:p>
      <w:pPr>
        <w:pStyle w:val="Heading"/>
        <w:rPr>
          <w:b w:val="false"/>
        </w:rPr>
      </w:pPr>
      <w:r>
        <w:rPr>
          <w:b w:val="false"/>
        </w:rPr>
        <w:t>1999 Events and Sponsorships</w:t>
      </w:r>
    </w:p>
    <w:p>
      <w:pPr>
        <w:pStyle w:val="Normal"/>
        <w:rPr>
          <w:b/>
        </w:rPr>
      </w:pPr>
      <w:r>
        <w:rPr>
          <w:b/>
        </w:rPr>
      </w:r>
    </w:p>
    <w:tbl>
      <w:tblPr>
        <w:tblW w:w="8242" w:type="dxa"/>
        <w:jc w:val="start"/>
        <w:tblInd w:w="0" w:type="dxa"/>
        <w:tblLayout w:type="fixed"/>
        <w:tblCellMar>
          <w:top w:w="0" w:type="dxa"/>
          <w:start w:w="108" w:type="dxa"/>
          <w:bottom w:w="0" w:type="dxa"/>
          <w:end w:w="108" w:type="dxa"/>
        </w:tblCellMar>
      </w:tblPr>
      <w:tblGrid>
        <w:gridCol w:w="6344"/>
        <w:gridCol w:w="1897"/>
      </w:tblGrid>
      <w:tr>
        <w:trPr/>
        <w:tc>
          <w:tcPr>
            <w:tcW w:w="6344"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rFonts w:ascii="Georgia" w:hAnsi="Georgia" w:cs="Georgia"/>
                <w:b/>
                <w:color w:val="FFFFFF"/>
                <w:sz w:val="28"/>
              </w:rPr>
            </w:pPr>
            <w:r>
              <w:rPr>
                <w:rFonts w:cs="Georgia" w:ascii="Georgia" w:hAnsi="Georgia"/>
                <w:b/>
                <w:color w:val="FFFFFF"/>
                <w:sz w:val="28"/>
              </w:rPr>
              <w:t>Event</w:t>
            </w:r>
          </w:p>
        </w:tc>
        <w:tc>
          <w:tcPr>
            <w:tcW w:w="1897"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rFonts w:ascii="Georgia" w:hAnsi="Georgia" w:cs="Georgia"/>
                <w:b/>
                <w:color w:val="FFFFFF"/>
                <w:sz w:val="28"/>
              </w:rPr>
            </w:pPr>
            <w:r>
              <w:rPr>
                <w:rFonts w:cs="Georgia" w:ascii="Georgia" w:hAnsi="Georgia"/>
                <w:b/>
                <w:color w:val="FFFFFF"/>
                <w:sz w:val="28"/>
              </w:rPr>
              <w:t>Date</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 xml:space="preserve">African Ambassadors Spouses Dinner </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10/14/99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Africare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9/28/99</w:t>
            </w:r>
          </w:p>
        </w:tc>
      </w:tr>
      <w:tr>
        <w:trPr/>
        <w:tc>
          <w:tcPr>
            <w:tcW w:w="6344" w:type="dxa"/>
            <w:tcBorders>
              <w:top w:val="single" w:sz="6" w:space="0" w:color="000000"/>
              <w:start w:val="single" w:sz="12" w:space="0" w:color="000000"/>
              <w:bottom w:val="single" w:sz="6" w:space="0" w:color="000000"/>
              <w:end w:val="single" w:sz="6" w:space="0" w:color="000000"/>
            </w:tcBorders>
            <w:tcMar>
              <w:start w:w="107" w:type="dxa"/>
              <w:end w:w="107" w:type="dxa"/>
            </w:tcMar>
          </w:tcPr>
          <w:p>
            <w:pPr>
              <w:pStyle w:val="Normal"/>
              <w:rPr>
                <w:rFonts w:ascii="Georgia" w:hAnsi="Georgia" w:cs="Georgia"/>
                <w:sz w:val="22"/>
              </w:rPr>
            </w:pPr>
            <w:r>
              <w:rPr>
                <w:rFonts w:cs="Georgia" w:ascii="Georgia" w:hAnsi="Georgia"/>
                <w:sz w:val="22"/>
              </w:rPr>
              <w:t>Alliance to Save Energy</w:t>
            </w:r>
          </w:p>
        </w:tc>
        <w:tc>
          <w:tcPr>
            <w:tcW w:w="1897" w:type="dxa"/>
            <w:tcBorders>
              <w:top w:val="single" w:sz="6" w:space="0" w:color="000000"/>
              <w:start w:val="single" w:sz="6" w:space="0" w:color="000000"/>
              <w:bottom w:val="single" w:sz="6" w:space="0" w:color="000000"/>
              <w:end w:val="single" w:sz="12" w:space="0" w:color="000000"/>
            </w:tcBorders>
            <w:tcMar>
              <w:start w:w="107" w:type="dxa"/>
              <w:end w:w="107" w:type="dxa"/>
            </w:tcMar>
          </w:tcPr>
          <w:p>
            <w:pPr>
              <w:pStyle w:val="Normal"/>
              <w:snapToGrid w:val="false"/>
              <w:rPr>
                <w:rFonts w:ascii="Georgia" w:hAnsi="Georgia" w:cs="Georgia"/>
                <w:sz w:val="22"/>
              </w:rPr>
            </w:pPr>
            <w:r>
              <w:rPr>
                <w:rFonts w:cs="Georgia" w:ascii="Georgia" w:hAnsi="Georgia"/>
                <w:sz w:val="22"/>
              </w:rPr>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America Enterprise Institute for Public Policy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2/25/99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American Foreign Service Association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3/17/99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American Jewish Committee</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6/9/99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American Turkish Council Annual Meeting</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4/28/99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Americas Society Spring Party</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Asia Society Annual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5/27/99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pPr>
            <w:r>
              <w:rPr>
                <w:rFonts w:cs="Georgia" w:ascii="Georgia" w:hAnsi="Georgia"/>
                <w:sz w:val="22"/>
              </w:rPr>
              <w:t>Atlantic Council’s 50</w:t>
            </w:r>
            <w:r>
              <w:rPr>
                <w:rFonts w:cs="Georgia" w:ascii="Georgia" w:hAnsi="Georgia"/>
                <w:sz w:val="22"/>
                <w:vertAlign w:val="superscript"/>
              </w:rPr>
              <w:t>th</w:t>
            </w:r>
            <w:r>
              <w:rPr>
                <w:rFonts w:cs="Georgia" w:ascii="Georgia" w:hAnsi="Georgia"/>
                <w:sz w:val="22"/>
              </w:rPr>
              <w:t xml:space="preserve"> NATO Anniversary</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Auzrix Congressional Reception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BCIU Annual Opera Gala (New York)</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10/15/99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BCIU Bangladesh Luncheon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8/10/99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BCIU Dinner Discussion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7/30/99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BCIU Korean Ambassador Luncheon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4/13/99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BCIU Luncheon for Chuck Ford</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7/14/99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BCIU Opera Gala</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10/15/99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BCIU Philippines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BCIU South Asia Commercial Forum</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4/28/99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BIPAC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Brazil IMF Campaign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3/31/99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Brazil-US Business Council Luncheon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9/14/99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Cancer Research Foundation Luncheon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Capitol Hill Club Cinco De Mayo</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Capitol Hill Club Texas Night</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9/16/99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Center For New Black Leadership</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3/25/99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 xml:space="preserve">CII Luncheon </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9/28/99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Colombia National Day</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7/20/99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Congressional Baseball Game</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6/24/99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 xml:space="preserve">Congressional Black Caucus Fdn </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9/17/99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Consumer Federation of America Conference</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9/30/99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Consumer Federation of American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Consumer for World Trade</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 xml:space="preserve">Council of the Americas Washington Conference </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DCCC Indian Event</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6/24/99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Democratic Senatorial Campaign Committee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10/20/99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 xml:space="preserve">Distinguished Nebraskan Award </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10/18/99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DLC Annual Spring Retreat</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DLC National Conversation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7/14/99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EEDC Congressional Breakfast</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7/20/99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Eisenhower Annual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European Institute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1/20/99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Farewell to Ambassador Rabe</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6/29/99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 xml:space="preserve">Florida Chamber Fly In </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pPr>
            <w:r>
              <w:rPr>
                <w:rFonts w:cs="Georgia" w:ascii="Georgia" w:hAnsi="Georgia"/>
                <w:sz w:val="22"/>
              </w:rPr>
              <w:t>Foreign Service 75</w:t>
            </w:r>
            <w:r>
              <w:rPr>
                <w:rFonts w:cs="Georgia" w:ascii="Georgia" w:hAnsi="Georgia"/>
                <w:sz w:val="22"/>
                <w:vertAlign w:val="superscript"/>
              </w:rPr>
              <w:t>th</w:t>
            </w:r>
            <w:r>
              <w:rPr>
                <w:rFonts w:cs="Georgia" w:ascii="Georgia" w:hAnsi="Georgia"/>
                <w:sz w:val="22"/>
              </w:rPr>
              <w:t xml:space="preserve"> Anniversary</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Hispanic Heritage Leadership Breakfast</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8/4/99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International Gas Union Committee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9/20/99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International Republican Institute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10/19/99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Joint Center for Political and Economic Studies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3/23/99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National Democratic Institute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9/23/99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National Retail Federation Conference</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8/14/99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National Symphony Ball</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12/3/99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Nebraska State Society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9/18/99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NFIB Summer Classic</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8/9/99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 xml:space="preserve">Oklahoma State Society </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Oregon State Society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4/16/99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Oregon State Society Golf Tournament</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Permanent Majority Project (Republican Women Conference)</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pPr>
            <w:r>
              <w:rPr>
                <w:rFonts w:cs="Georgia" w:ascii="Georgia" w:hAnsi="Georgia"/>
                <w:sz w:val="22"/>
              </w:rPr>
              <w:t>Reception for the Freshman Class of 104</w:t>
            </w:r>
            <w:r>
              <w:rPr>
                <w:rFonts w:cs="Georgia" w:ascii="Georgia" w:hAnsi="Georgia"/>
                <w:sz w:val="22"/>
                <w:vertAlign w:val="superscript"/>
              </w:rPr>
              <w:t>th</w:t>
            </w:r>
            <w:r>
              <w:rPr>
                <w:rFonts w:cs="Georgia" w:ascii="Georgia" w:hAnsi="Georgia"/>
                <w:sz w:val="22"/>
              </w:rPr>
              <w:t xml:space="preserve"> Congress</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10/27/99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Republican House Senate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10/7/99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Republican Women’s Texas Reception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5/11/99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Senate Majority Celebration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10/7/99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Texas State Society Congressional Reception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3/3/99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Texas State Society Father’s Day Picnic</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6/9/99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Turkish Prime Minister Luncheon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10/15/99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Asean Breakfast for Pres. Ramos</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3/3/99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Asean Dinner for Senator Kit Bond</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3/28/99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Asean US Ambassadors Tour Reception and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6/16/99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Azerbaijan Chamber of Commerce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3/99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Bolivia Business Partnership Minister Luncheon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9/29/99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Bolivia Vice President Quiroga Luncheon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7/99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Chamber Brazilian Program</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5/10/99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Chamber of Commerce Lunch honoring Argentine</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1/12/99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Chamber OPIC Conference</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6/17/99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Chamber President of Venezuela luncheon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9/23/99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Chamber/Asia Foundation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9/15/99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China Annual Meeting</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6/9/99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China Business Council Premier Lunch</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7/99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 xml:space="preserve">US Columbia Business Partnership Breakfast </w:t>
            </w:r>
          </w:p>
        </w:tc>
        <w:tc>
          <w:tcPr>
            <w:tcW w:w="1897" w:type="dxa"/>
            <w:tcBorders>
              <w:top w:val="single" w:sz="6" w:space="0" w:color="000080"/>
              <w:start w:val="single" w:sz="6" w:space="0" w:color="000080"/>
              <w:bottom w:val="single" w:sz="6" w:space="0" w:color="000080"/>
              <w:end w:val="single" w:sz="6" w:space="0" w:color="000080"/>
            </w:tcBorders>
          </w:tcPr>
          <w:p>
            <w:pPr>
              <w:pStyle w:val="Normal"/>
              <w:snapToGrid w:val="false"/>
              <w:rPr>
                <w:rFonts w:ascii="Georgia" w:hAnsi="Georgia" w:cs="Georgia"/>
                <w:sz w:val="22"/>
              </w:rPr>
            </w:pPr>
            <w:r>
              <w:rPr>
                <w:rFonts w:cs="Georgia" w:ascii="Georgia" w:hAnsi="Georgia"/>
                <w:sz w:val="22"/>
              </w:rPr>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Columbia Business Partnership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5/99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Hispanic Chamber of Commerce Legislative Weekend</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3/99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US South Africa Business Council Luncheon</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4/14/99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Washington International Trade Assn. Dinner</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7/20/99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Wolf Trap Foundation for the Performing Arts</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Spring/summer</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World Services Congress</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11/99</w:t>
            </w:r>
          </w:p>
        </w:tc>
      </w:tr>
      <w:tr>
        <w:trPr/>
        <w:tc>
          <w:tcPr>
            <w:tcW w:w="6344"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WTO Seattle Ministerial</w:t>
            </w:r>
          </w:p>
        </w:tc>
        <w:tc>
          <w:tcPr>
            <w:tcW w:w="1897" w:type="dxa"/>
            <w:tcBorders>
              <w:top w:val="single" w:sz="6" w:space="0" w:color="000080"/>
              <w:start w:val="single" w:sz="6" w:space="0" w:color="000080"/>
              <w:bottom w:val="single" w:sz="6" w:space="0" w:color="000080"/>
              <w:end w:val="single" w:sz="6" w:space="0" w:color="000080"/>
            </w:tcBorders>
          </w:tcPr>
          <w:p>
            <w:pPr>
              <w:pStyle w:val="Normal"/>
              <w:rPr>
                <w:rFonts w:ascii="Georgia" w:hAnsi="Georgia" w:cs="Georgia"/>
                <w:sz w:val="22"/>
              </w:rPr>
            </w:pPr>
            <w:r>
              <w:rPr>
                <w:rFonts w:cs="Georgia" w:ascii="Georgia" w:hAnsi="Georgia"/>
                <w:sz w:val="22"/>
              </w:rPr>
              <w:t>11/30/99</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4"/>
        </w:rPr>
      </w:pPr>
      <w:r>
        <w:rPr>
          <w:sz w:val="24"/>
        </w:rPr>
      </w:r>
    </w:p>
    <w:sectPr>
      <w:footerReference w:type="default" r:id="rId10"/>
      <w:footerReference w:type="first" r:id="rId11"/>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Tms Rmn">
    <w:altName w:val="Times New Roman"/>
    <w:charset w:val="00" w:characterSet="windows-1252"/>
    <w:family w:val="roman"/>
    <w:pitch w:val="variable"/>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1276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5">
              <wp:simplePos x="0" y="0"/>
              <wp:positionH relativeFrom="margin">
                <wp:align>right</wp:align>
              </wp:positionH>
              <wp:positionV relativeFrom="paragraph">
                <wp:posOffset>635</wp:posOffset>
              </wp:positionV>
              <wp:extent cx="12763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sz w:val="16"/>
      </w:rPr>
    </w:lvl>
  </w:abstractNum>
  <w:abstractNum w:abstractNumId="6">
    <w:lvl w:ilvl="0">
      <w:start w:val="1"/>
      <w:numFmt w:val="bullet"/>
      <w:lvlText w:val=""/>
      <w:lvlJc w:val="start"/>
      <w:pPr>
        <w:tabs>
          <w:tab w:val="num" w:pos="360"/>
        </w:tabs>
        <w:ind w:start="360" w:hanging="360"/>
      </w:pPr>
      <w:rPr>
        <w:rFonts w:ascii="Symbol" w:hAnsi="Symbol" w:cs="Symbol"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sz w:val="16"/>
      </w:rPr>
    </w:lvl>
  </w:abstractNum>
  <w:abstractNum w:abstractNumId="8">
    <w:lvl w:ilvl="0">
      <w:start w:val="1"/>
      <w:numFmt w:val="bullet"/>
      <w:lvlText w:val=""/>
      <w:lvlJc w:val="start"/>
      <w:pPr>
        <w:tabs>
          <w:tab w:val="num" w:pos="360"/>
        </w:tabs>
        <w:ind w:start="360" w:hanging="360"/>
      </w:pPr>
      <w:rPr>
        <w:rFonts w:ascii="Symbol" w:hAnsi="Symbol" w:cs="Symbol" w:hint="default"/>
        <w:sz w:val="16"/>
      </w:rPr>
    </w:lvl>
  </w:abstractNum>
  <w:abstractNum w:abstractNumId="9">
    <w:lvl w:ilvl="0">
      <w:start w:val="1"/>
      <w:numFmt w:val="bullet"/>
      <w:lvlText w:val=""/>
      <w:lvlJc w:val="start"/>
      <w:pPr>
        <w:tabs>
          <w:tab w:val="num" w:pos="360"/>
        </w:tabs>
        <w:ind w:start="360" w:hanging="360"/>
      </w:pPr>
      <w:rPr>
        <w:rFonts w:ascii="Symbol" w:hAnsi="Symbol" w:cs="Symbol" w:hint="default"/>
        <w:sz w:val="16"/>
      </w:rPr>
    </w:lvl>
  </w:abstractNum>
  <w:abstractNum w:abstractNumId="10">
    <w:lvl w:ilvl="0">
      <w:start w:val="1"/>
      <w:numFmt w:val="bullet"/>
      <w:lvlText w:val=""/>
      <w:lvlJc w:val="start"/>
      <w:pPr>
        <w:tabs>
          <w:tab w:val="num" w:pos="360"/>
        </w:tabs>
        <w:ind w:start="360" w:hanging="360"/>
      </w:pPr>
      <w:rPr>
        <w:rFonts w:ascii="Symbol" w:hAnsi="Symbol" w:cs="Symbol" w:hint="default"/>
        <w:sz w:val="16"/>
      </w:rPr>
    </w:lvl>
  </w:abstractNum>
  <w:abstractNum w:abstractNumId="11">
    <w:lvl w:ilvl="0">
      <w:start w:val="1"/>
      <w:numFmt w:val="bullet"/>
      <w:lvlText w:val=""/>
      <w:lvlJc w:val="start"/>
      <w:pPr>
        <w:tabs>
          <w:tab w:val="num" w:pos="360"/>
        </w:tabs>
        <w:ind w:start="360" w:hanging="360"/>
      </w:pPr>
      <w:rPr>
        <w:rFonts w:ascii="Symbol" w:hAnsi="Symbol" w:cs="Symbol" w:hint="default"/>
        <w:sz w:val="16"/>
      </w:rPr>
    </w:lvl>
  </w:abstractNum>
  <w:abstractNum w:abstractNumId="12">
    <w:lvl w:ilvl="0">
      <w:start w:val="1"/>
      <w:numFmt w:val="bullet"/>
      <w:lvlText w:val=""/>
      <w:lvlJc w:val="start"/>
      <w:pPr>
        <w:tabs>
          <w:tab w:val="num" w:pos="360"/>
        </w:tabs>
        <w:ind w:start="360" w:hanging="360"/>
      </w:pPr>
      <w:rPr>
        <w:rFonts w:ascii="Symbol" w:hAnsi="Symbol" w:cs="Symbol" w:hint="default"/>
        <w:sz w:val="16"/>
      </w:rPr>
    </w:lvl>
  </w:abstractNum>
  <w:abstractNum w:abstractNumId="13">
    <w:lvl w:ilvl="0">
      <w:start w:val="1"/>
      <w:numFmt w:val="bullet"/>
      <w:lvlText w:val=""/>
      <w:lvlJc w:val="start"/>
      <w:pPr>
        <w:tabs>
          <w:tab w:val="num" w:pos="360"/>
        </w:tabs>
        <w:ind w:start="360" w:hanging="360"/>
      </w:pPr>
      <w:rPr>
        <w:rFonts w:ascii="Symbol" w:hAnsi="Symbol" w:cs="Symbol" w:hint="default"/>
        <w:sz w:val="16"/>
      </w:rPr>
    </w:lvl>
  </w:abstractNum>
  <w:abstractNum w:abstractNumId="14">
    <w:lvl w:ilvl="0">
      <w:start w:val="1"/>
      <w:numFmt w:val="bullet"/>
      <w:lvlText w:val=""/>
      <w:lvlJc w:val="start"/>
      <w:pPr>
        <w:tabs>
          <w:tab w:val="num" w:pos="360"/>
        </w:tabs>
        <w:ind w:start="360" w:hanging="360"/>
      </w:pPr>
      <w:rPr>
        <w:rFonts w:ascii="Symbol" w:hAnsi="Symbol" w:cs="Symbol" w:hint="default"/>
        <w:sz w:val="16"/>
      </w:rPr>
    </w:lvl>
  </w:abstractNum>
  <w:abstractNum w:abstractNumId="15">
    <w:lvl w:ilvl="0">
      <w:start w:val="1"/>
      <w:numFmt w:val="bullet"/>
      <w:lvlText w:val=""/>
      <w:lvlJc w:val="start"/>
      <w:pPr>
        <w:tabs>
          <w:tab w:val="num" w:pos="360"/>
        </w:tabs>
        <w:ind w:start="360" w:hanging="360"/>
      </w:pPr>
      <w:rPr>
        <w:rFonts w:ascii="Symbol" w:hAnsi="Symbol" w:cs="Symbol" w:hint="default"/>
        <w:sz w:val="16"/>
      </w:rPr>
    </w:lvl>
  </w:abstractNum>
  <w:abstractNum w:abstractNumId="16">
    <w:lvl w:ilvl="0">
      <w:start w:val="1"/>
      <w:numFmt w:val="bullet"/>
      <w:lvlText w:val=""/>
      <w:lvlJc w:val="start"/>
      <w:pPr>
        <w:tabs>
          <w:tab w:val="num" w:pos="360"/>
        </w:tabs>
        <w:ind w:start="360" w:hanging="360"/>
      </w:pPr>
      <w:rPr>
        <w:rFonts w:ascii="Symbol" w:hAnsi="Symbol" w:cs="Symbol" w:hint="default"/>
        <w:sz w:val="16"/>
      </w:rPr>
    </w:lvl>
  </w:abstractNum>
  <w:abstractNum w:abstractNumId="17">
    <w:lvl w:ilvl="0">
      <w:start w:val="1"/>
      <w:numFmt w:val="bullet"/>
      <w:lvlText w:val=""/>
      <w:lvlJc w:val="start"/>
      <w:pPr>
        <w:tabs>
          <w:tab w:val="num" w:pos="360"/>
        </w:tabs>
        <w:ind w:start="360" w:hanging="360"/>
      </w:pPr>
      <w:rPr>
        <w:rFonts w:ascii="Symbol" w:hAnsi="Symbol" w:cs="Symbol" w:hint="default"/>
        <w:sz w:val="16"/>
      </w:rPr>
    </w:lvl>
  </w:abstractNum>
  <w:abstractNum w:abstractNumId="18">
    <w:lvl w:ilvl="0">
      <w:start w:val="1"/>
      <w:numFmt w:val="bullet"/>
      <w:lvlText w:val=""/>
      <w:lvlJc w:val="start"/>
      <w:pPr>
        <w:tabs>
          <w:tab w:val="num" w:pos="360"/>
        </w:tabs>
        <w:ind w:start="360" w:hanging="360"/>
      </w:pPr>
      <w:rPr>
        <w:rFonts w:ascii="Symbol" w:hAnsi="Symbol" w:cs="Symbol" w:hint="default"/>
        <w:sz w:val="16"/>
      </w:rPr>
    </w:lvl>
  </w:abstractNum>
  <w:abstractNum w:abstractNumId="19">
    <w:lvl w:ilvl="0">
      <w:start w:val="1"/>
      <w:numFmt w:val="bullet"/>
      <w:lvlText w:val=""/>
      <w:lvlJc w:val="start"/>
      <w:pPr>
        <w:tabs>
          <w:tab w:val="num" w:pos="360"/>
        </w:tabs>
        <w:ind w:start="360" w:hanging="360"/>
      </w:pPr>
      <w:rPr>
        <w:rFonts w:ascii="Symbol" w:hAnsi="Symbol" w:cs="Symbol" w:hint="default"/>
        <w:sz w:val="16"/>
      </w:rPr>
    </w:lvl>
  </w:abstractNum>
  <w:abstractNum w:abstractNumId="20">
    <w:lvl w:ilvl="0">
      <w:start w:val="1"/>
      <w:numFmt w:val="bullet"/>
      <w:lvlText w:val=""/>
      <w:lvlJc w:val="start"/>
      <w:pPr>
        <w:tabs>
          <w:tab w:val="num" w:pos="360"/>
        </w:tabs>
        <w:ind w:start="360" w:hanging="360"/>
      </w:pPr>
      <w:rPr>
        <w:rFonts w:ascii="Symbol" w:hAnsi="Symbol" w:cs="Symbol" w:hint="default"/>
        <w:sz w:val="16"/>
      </w:rPr>
    </w:lvl>
  </w:abstractNum>
  <w:abstractNum w:abstractNumId="21">
    <w:lvl w:ilvl="0">
      <w:start w:val="1"/>
      <w:numFmt w:val="bullet"/>
      <w:lvlText w:val=""/>
      <w:lvlJc w:val="start"/>
      <w:pPr>
        <w:tabs>
          <w:tab w:val="num" w:pos="360"/>
        </w:tabs>
        <w:ind w:start="360" w:hanging="360"/>
      </w:pPr>
      <w:rPr>
        <w:rFonts w:ascii="Symbol" w:hAnsi="Symbol" w:cs="Symbol" w:hint="default"/>
        <w:sz w:val="16"/>
      </w:rPr>
    </w:lvl>
  </w:abstractNum>
  <w:abstractNum w:abstractNumId="22">
    <w:lvl w:ilvl="0">
      <w:start w:val="1"/>
      <w:numFmt w:val="bullet"/>
      <w:lvlText w:val=""/>
      <w:lvlJc w:val="start"/>
      <w:pPr>
        <w:tabs>
          <w:tab w:val="num" w:pos="360"/>
        </w:tabs>
        <w:ind w:start="360" w:hanging="360"/>
      </w:pPr>
      <w:rPr>
        <w:rFonts w:ascii="Symbol" w:hAnsi="Symbol" w:cs="Symbol" w:hint="default"/>
        <w:sz w:val="16"/>
      </w:rPr>
    </w:lvl>
  </w:abstractNum>
  <w:abstractNum w:abstractNumId="23">
    <w:lvl w:ilvl="0">
      <w:start w:val="1"/>
      <w:numFmt w:val="bullet"/>
      <w:lvlText w:val=""/>
      <w:lvlJc w:val="start"/>
      <w:pPr>
        <w:tabs>
          <w:tab w:val="num" w:pos="360"/>
        </w:tabs>
        <w:ind w:start="360" w:hanging="360"/>
      </w:pPr>
      <w:rPr>
        <w:rFonts w:ascii="Symbol" w:hAnsi="Symbol" w:cs="Symbol" w:hint="default"/>
        <w:sz w:val="16"/>
      </w:rPr>
    </w:lvl>
  </w:abstractNum>
  <w:abstractNum w:abstractNumId="24">
    <w:lvl w:ilvl="0">
      <w:start w:val="1"/>
      <w:numFmt w:val="bullet"/>
      <w:lvlText w:val=""/>
      <w:lvlJc w:val="start"/>
      <w:pPr>
        <w:tabs>
          <w:tab w:val="num" w:pos="360"/>
        </w:tabs>
        <w:ind w:start="360" w:hanging="360"/>
      </w:pPr>
      <w:rPr>
        <w:rFonts w:ascii="Symbol" w:hAnsi="Symbol" w:cs="Symbol" w:hint="default"/>
        <w:sz w:val="16"/>
      </w:rPr>
    </w:lvl>
  </w:abstractNum>
  <w:abstractNum w:abstractNumId="25">
    <w:lvl w:ilvl="0">
      <w:start w:val="1"/>
      <w:numFmt w:val="bullet"/>
      <w:lvlText w:val=""/>
      <w:lvlJc w:val="start"/>
      <w:pPr>
        <w:tabs>
          <w:tab w:val="num" w:pos="360"/>
        </w:tabs>
        <w:ind w:start="360" w:hanging="360"/>
      </w:pPr>
      <w:rPr>
        <w:rFonts w:ascii="Symbol" w:hAnsi="Symbol" w:cs="Symbol" w:hint="default"/>
        <w:sz w:val="16"/>
      </w:rPr>
    </w:lvl>
  </w:abstractNum>
  <w:abstractNum w:abstractNumId="26">
    <w:lvl w:ilvl="0">
      <w:start w:val="1"/>
      <w:numFmt w:val="bullet"/>
      <w:lvlText w:val=""/>
      <w:lvlJc w:val="start"/>
      <w:pPr>
        <w:tabs>
          <w:tab w:val="num" w:pos="360"/>
        </w:tabs>
        <w:ind w:start="360" w:hanging="360"/>
      </w:pPr>
      <w:rPr>
        <w:rFonts w:ascii="Symbol" w:hAnsi="Symbol" w:cs="Symbol" w:hint="default"/>
        <w:sz w:val="16"/>
      </w:rPr>
    </w:lvl>
  </w:abstractNum>
  <w:abstractNum w:abstractNumId="27">
    <w:lvl w:ilvl="0">
      <w:start w:val="1"/>
      <w:numFmt w:val="decimal"/>
      <w:lvlText w:val="%1)"/>
      <w:lvlJc w:val="start"/>
      <w:pPr>
        <w:tabs>
          <w:tab w:val="num" w:pos="360"/>
        </w:tabs>
        <w:ind w:start="360" w:hanging="360"/>
      </w:pPr>
    </w:lvl>
  </w:abstractNum>
  <w:abstractNum w:abstractNumId="28">
    <w:lvl w:ilvl="0">
      <w:start w:val="1"/>
      <w:numFmt w:val="bullet"/>
      <w:lvlText w:val=""/>
      <w:lvlJc w:val="start"/>
      <w:pPr>
        <w:tabs>
          <w:tab w:val="num" w:pos="360"/>
        </w:tabs>
        <w:ind w:start="360" w:hanging="360"/>
      </w:pPr>
      <w:rPr>
        <w:rFonts w:ascii="Symbol" w:hAnsi="Symbol" w:cs="Symbol" w:hint="default"/>
        <w:sz w:val="16"/>
      </w:rPr>
    </w:lvl>
  </w:abstractNum>
  <w:abstractNum w:abstractNumId="29">
    <w:lvl w:ilvl="0">
      <w:start w:val="1"/>
      <w:numFmt w:val="bullet"/>
      <w:lvlText w:val=""/>
      <w:lvlJc w:val="start"/>
      <w:pPr>
        <w:tabs>
          <w:tab w:val="num" w:pos="360"/>
        </w:tabs>
        <w:ind w:start="360" w:hanging="360"/>
      </w:pPr>
      <w:rPr>
        <w:rFonts w:ascii="Symbol" w:hAnsi="Symbol" w:cs="Symbol" w:hint="default"/>
        <w:sz w:val="16"/>
      </w:rPr>
    </w:lvl>
  </w:abstractNum>
  <w:abstractNum w:abstractNumId="30">
    <w:lvl w:ilvl="0">
      <w:start w:val="1"/>
      <w:numFmt w:val="bullet"/>
      <w:lvlText w:val=""/>
      <w:lvlJc w:val="start"/>
      <w:pPr>
        <w:tabs>
          <w:tab w:val="num" w:pos="360"/>
        </w:tabs>
        <w:ind w:start="360" w:hanging="360"/>
      </w:pPr>
      <w:rPr>
        <w:rFonts w:ascii="Symbol" w:hAnsi="Symbol" w:cs="Symbol" w:hint="default"/>
        <w:sz w:val="16"/>
      </w:rPr>
    </w:lvl>
  </w:abstractNum>
  <w:abstractNum w:abstractNumId="31">
    <w:lvl w:ilvl="0">
      <w:start w:val="1"/>
      <w:numFmt w:val="bullet"/>
      <w:lvlText w:val=""/>
      <w:lvlJc w:val="start"/>
      <w:pPr>
        <w:tabs>
          <w:tab w:val="num" w:pos="360"/>
        </w:tabs>
        <w:ind w:start="360" w:hanging="360"/>
      </w:pPr>
      <w:rPr>
        <w:rFonts w:ascii="Symbol" w:hAnsi="Symbol" w:cs="Symbol" w:hint="default"/>
        <w:sz w:val="16"/>
      </w:rPr>
    </w:lvl>
  </w:abstractNum>
  <w:abstractNum w:abstractNumId="32">
    <w:lvl w:ilvl="0">
      <w:start w:val="1"/>
      <w:numFmt w:val="bullet"/>
      <w:lvlText w:val=""/>
      <w:lvlJc w:val="start"/>
      <w:pPr>
        <w:tabs>
          <w:tab w:val="num" w:pos="360"/>
        </w:tabs>
        <w:ind w:start="360" w:hanging="360"/>
      </w:pPr>
      <w:rPr>
        <w:rFonts w:ascii="Symbol" w:hAnsi="Symbol" w:cs="Symbol" w:hint="default"/>
        <w:sz w:val="16"/>
      </w:rPr>
    </w:lvl>
  </w:abstractNum>
  <w:abstractNum w:abstractNumId="33">
    <w:lvl w:ilvl="0">
      <w:start w:val="1"/>
      <w:numFmt w:val="bullet"/>
      <w:lvlText w:val=""/>
      <w:lvlJc w:val="start"/>
      <w:pPr>
        <w:tabs>
          <w:tab w:val="num" w:pos="360"/>
        </w:tabs>
        <w:ind w:start="360" w:hanging="360"/>
      </w:pPr>
      <w:rPr>
        <w:rFonts w:ascii="Symbol" w:hAnsi="Symbol" w:cs="Symbol" w:hint="default"/>
        <w:sz w:val="16"/>
      </w:rPr>
    </w:lvl>
  </w:abstractNum>
  <w:abstractNum w:abstractNumId="34">
    <w:lvl w:ilvl="0">
      <w:start w:val="1"/>
      <w:numFmt w:val="bullet"/>
      <w:lvlText w:val=""/>
      <w:lvlJc w:val="start"/>
      <w:pPr>
        <w:tabs>
          <w:tab w:val="num" w:pos="360"/>
        </w:tabs>
        <w:ind w:start="360" w:hanging="360"/>
      </w:pPr>
      <w:rPr>
        <w:rFonts w:ascii="Symbol" w:hAnsi="Symbol" w:cs="Symbol" w:hint="default"/>
        <w:sz w:val="16"/>
      </w:rPr>
    </w:lvl>
  </w:abstractNum>
  <w:abstractNum w:abstractNumId="35">
    <w:lvl w:ilvl="0">
      <w:start w:val="1"/>
      <w:numFmt w:val="bullet"/>
      <w:lvlText w:val=""/>
      <w:lvlJc w:val="start"/>
      <w:pPr>
        <w:tabs>
          <w:tab w:val="num" w:pos="360"/>
        </w:tabs>
        <w:ind w:start="360" w:hanging="360"/>
      </w:pPr>
      <w:rPr>
        <w:rFonts w:ascii="Symbol" w:hAnsi="Symbol" w:cs="Symbol" w:hint="default"/>
        <w:sz w:val="16"/>
      </w:rPr>
    </w:lvl>
  </w:abstractNum>
  <w:abstractNum w:abstractNumId="36">
    <w:lvl w:ilvl="0">
      <w:start w:val="1"/>
      <w:numFmt w:val="bullet"/>
      <w:lvlText w:val=""/>
      <w:lvlJc w:val="start"/>
      <w:pPr>
        <w:tabs>
          <w:tab w:val="num" w:pos="360"/>
        </w:tabs>
        <w:ind w:start="360" w:hanging="360"/>
      </w:pPr>
      <w:rPr>
        <w:rFonts w:ascii="Symbol" w:hAnsi="Symbol" w:cs="Symbol" w:hint="default"/>
        <w:sz w:val="16"/>
      </w:rPr>
    </w:lvl>
  </w:abstractNum>
  <w:abstractNum w:abstractNumId="37">
    <w:lvl w:ilvl="0">
      <w:start w:val="1"/>
      <w:numFmt w:val="bullet"/>
      <w:lvlText w:val=""/>
      <w:lvlJc w:val="start"/>
      <w:pPr>
        <w:tabs>
          <w:tab w:val="num" w:pos="360"/>
        </w:tabs>
        <w:ind w:start="360" w:hanging="360"/>
      </w:pPr>
      <w:rPr>
        <w:rFonts w:ascii="Symbol" w:hAnsi="Symbol" w:cs="Symbol" w:hint="default"/>
        <w:sz w:val="16"/>
      </w:rPr>
    </w:lvl>
  </w:abstractNum>
  <w:abstractNum w:abstractNumId="38">
    <w:lvl w:ilvl="0">
      <w:start w:val="1"/>
      <w:numFmt w:val="bullet"/>
      <w:lvlText w:val=""/>
      <w:lvlJc w:val="start"/>
      <w:pPr>
        <w:tabs>
          <w:tab w:val="num" w:pos="360"/>
        </w:tabs>
        <w:ind w:start="360" w:hanging="360"/>
      </w:pPr>
      <w:rPr>
        <w:rFonts w:ascii="Symbol" w:hAnsi="Symbol" w:cs="Symbol" w:hint="default"/>
        <w:sz w:val="16"/>
      </w:rPr>
    </w:lvl>
  </w:abstractNum>
  <w:abstractNum w:abstractNumId="39">
    <w:lvl w:ilvl="0">
      <w:start w:val="1"/>
      <w:numFmt w:val="bullet"/>
      <w:lvlText w:val=""/>
      <w:lvlJc w:val="start"/>
      <w:pPr>
        <w:tabs>
          <w:tab w:val="num" w:pos="360"/>
        </w:tabs>
        <w:ind w:start="360" w:hanging="360"/>
      </w:pPr>
      <w:rPr>
        <w:rFonts w:ascii="Symbol" w:hAnsi="Symbol" w:cs="Symbol" w:hint="default"/>
        <w:sz w:val="16"/>
      </w:rPr>
    </w:lvl>
  </w:abstractNum>
  <w:abstractNum w:abstractNumId="40">
    <w:lvl w:ilvl="0">
      <w:start w:val="2"/>
      <w:numFmt w:val="decimal"/>
      <w:lvlText w:val="%1)"/>
      <w:lvlJc w:val="start"/>
      <w:pPr>
        <w:tabs>
          <w:tab w:val="num" w:pos="360"/>
        </w:tabs>
        <w:ind w:start="360" w:hanging="360"/>
      </w:pPr>
      <w:rPr/>
    </w:lvl>
  </w:abstractNum>
  <w:abstractNum w:abstractNumId="41">
    <w:lvl w:ilvl="0">
      <w:start w:val="1"/>
      <w:numFmt w:val="bullet"/>
      <w:lvlText w:val=""/>
      <w:lvlJc w:val="start"/>
      <w:pPr>
        <w:tabs>
          <w:tab w:val="num" w:pos="360"/>
        </w:tabs>
        <w:ind w:start="360" w:hanging="360"/>
      </w:pPr>
      <w:rPr>
        <w:rFonts w:ascii="Symbol" w:hAnsi="Symbol" w:cs="Symbol" w:hint="default"/>
        <w:sz w:val="16"/>
      </w:rPr>
    </w:lvl>
  </w:abstractNum>
  <w:abstractNum w:abstractNumId="42">
    <w:lvl w:ilvl="0">
      <w:start w:val="1"/>
      <w:numFmt w:val="bullet"/>
      <w:lvlText w:val=""/>
      <w:lvlJc w:val="start"/>
      <w:pPr>
        <w:tabs>
          <w:tab w:val="num" w:pos="360"/>
        </w:tabs>
        <w:ind w:start="360" w:hanging="360"/>
      </w:pPr>
      <w:rPr>
        <w:rFonts w:ascii="Symbol" w:hAnsi="Symbol" w:cs="Symbol" w:hint="default"/>
        <w:sz w:val="16"/>
      </w:rPr>
    </w:lvl>
  </w:abstractNum>
  <w:abstractNum w:abstractNumId="43">
    <w:lvl w:ilvl="0">
      <w:start w:val="1"/>
      <w:numFmt w:val="bullet"/>
      <w:lvlText w:val=""/>
      <w:lvlJc w:val="start"/>
      <w:pPr>
        <w:tabs>
          <w:tab w:val="num" w:pos="360"/>
        </w:tabs>
        <w:ind w:start="360" w:hanging="360"/>
      </w:pPr>
      <w:rPr>
        <w:rFonts w:ascii="Symbol" w:hAnsi="Symbol" w:cs="Symbol" w:hint="default"/>
        <w:sz w:val="16"/>
      </w:rPr>
    </w:lvl>
  </w:abstractNum>
  <w:abstractNum w:abstractNumId="44">
    <w:lvl w:ilvl="0">
      <w:start w:val="1"/>
      <w:numFmt w:val="bullet"/>
      <w:lvlText w:val=""/>
      <w:lvlJc w:val="start"/>
      <w:pPr>
        <w:tabs>
          <w:tab w:val="num" w:pos="360"/>
        </w:tabs>
        <w:ind w:start="360" w:hanging="360"/>
      </w:pPr>
      <w:rPr>
        <w:rFonts w:ascii="Symbol" w:hAnsi="Symbol" w:cs="Symbol" w:hint="default"/>
        <w:sz w:val="16"/>
      </w:rPr>
    </w:lvl>
  </w:abstractNum>
  <w:abstractNum w:abstractNumId="45">
    <w:lvl w:ilvl="0">
      <w:start w:val="1"/>
      <w:numFmt w:val="upperLetter"/>
      <w:lvlText w:val="%1."/>
      <w:lvlJc w:val="start"/>
      <w:pPr>
        <w:tabs>
          <w:tab w:val="num" w:pos="720"/>
        </w:tabs>
        <w:ind w:start="720" w:hanging="720"/>
      </w:pPr>
      <w:rPr/>
    </w:lvl>
  </w:abstractNum>
  <w:abstractNum w:abstractNumId="46">
    <w:lvl w:ilvl="0">
      <w:start w:val="1"/>
      <w:numFmt w:val="bullet"/>
      <w:lvlText w:val=""/>
      <w:lvlJc w:val="start"/>
      <w:pPr>
        <w:tabs>
          <w:tab w:val="num" w:pos="360"/>
        </w:tabs>
        <w:ind w:start="360" w:hanging="360"/>
      </w:pPr>
      <w:rPr>
        <w:rFonts w:ascii="Symbol" w:hAnsi="Symbol" w:cs="Symbol" w:hint="default"/>
        <w:sz w:val="16"/>
      </w:rPr>
    </w:lvl>
  </w:abstractNum>
  <w:abstractNum w:abstractNumId="47">
    <w:lvl w:ilvl="0">
      <w:start w:val="1"/>
      <w:numFmt w:val="bullet"/>
      <w:lvlText w:val=""/>
      <w:lvlJc w:val="start"/>
      <w:pPr>
        <w:tabs>
          <w:tab w:val="num" w:pos="360"/>
        </w:tabs>
        <w:ind w:start="360" w:hanging="360"/>
      </w:pPr>
      <w:rPr>
        <w:rFonts w:ascii="Symbol" w:hAnsi="Symbol" w:cs="Symbol" w:hint="default"/>
        <w:sz w:val="16"/>
      </w:rPr>
    </w:lvl>
  </w:abstractNum>
  <w:abstractNum w:abstractNumId="48">
    <w:lvl w:ilvl="0">
      <w:start w:val="1"/>
      <w:numFmt w:val="bullet"/>
      <w:lvlText w:val=""/>
      <w:lvlJc w:val="start"/>
      <w:pPr>
        <w:tabs>
          <w:tab w:val="num" w:pos="360"/>
        </w:tabs>
        <w:ind w:start="360" w:hanging="360"/>
      </w:pPr>
      <w:rPr>
        <w:rFonts w:ascii="Symbol" w:hAnsi="Symbol" w:cs="Symbol" w:hint="default"/>
        <w:sz w:val="16"/>
      </w:rPr>
    </w:lvl>
  </w:abstractNum>
  <w:abstractNum w:abstractNumId="49">
    <w:lvl w:ilvl="0">
      <w:start w:val="1"/>
      <w:numFmt w:val="bullet"/>
      <w:lvlText w:val=""/>
      <w:lvlJc w:val="start"/>
      <w:pPr>
        <w:tabs>
          <w:tab w:val="num" w:pos="360"/>
        </w:tabs>
        <w:ind w:start="360" w:hanging="360"/>
      </w:pPr>
      <w:rPr>
        <w:rFonts w:ascii="Symbol" w:hAnsi="Symbol" w:cs="Symbol" w:hint="default"/>
        <w:sz w:val="16"/>
      </w:rPr>
    </w:lvl>
  </w:abstractNum>
  <w:abstractNum w:abstractNumId="50">
    <w:lvl w:ilvl="0">
      <w:start w:val="1"/>
      <w:numFmt w:val="bullet"/>
      <w:lvlText w:val=""/>
      <w:lvlJc w:val="start"/>
      <w:pPr>
        <w:tabs>
          <w:tab w:val="num" w:pos="360"/>
        </w:tabs>
        <w:ind w:start="360" w:hanging="360"/>
      </w:pPr>
      <w:rPr>
        <w:rFonts w:ascii="Symbol" w:hAnsi="Symbol" w:cs="Symbol" w:hint="default"/>
        <w:sz w:val="16"/>
      </w:rPr>
    </w:lvl>
  </w:abstractNum>
  <w:abstractNum w:abstractNumId="51">
    <w:lvl w:ilvl="0">
      <w:start w:val="1"/>
      <w:numFmt w:val="bullet"/>
      <w:lvlText w:val=""/>
      <w:lvlJc w:val="start"/>
      <w:pPr>
        <w:tabs>
          <w:tab w:val="num" w:pos="360"/>
        </w:tabs>
        <w:ind w:start="360" w:hanging="360"/>
      </w:pPr>
      <w:rPr>
        <w:rFonts w:ascii="Symbol" w:hAnsi="Symbol" w:cs="Symbol" w:hint="default"/>
        <w:sz w:val="16"/>
      </w:rPr>
    </w:lvl>
  </w:abstractNum>
  <w:abstractNum w:abstractNumId="52">
    <w:lvl w:ilvl="0">
      <w:start w:val="1"/>
      <w:numFmt w:val="bullet"/>
      <w:lvlText w:val=""/>
      <w:lvlJc w:val="start"/>
      <w:pPr>
        <w:tabs>
          <w:tab w:val="num" w:pos="360"/>
        </w:tabs>
        <w:ind w:start="360" w:hanging="360"/>
      </w:pPr>
      <w:rPr>
        <w:rFonts w:ascii="Symbol" w:hAnsi="Symbol" w:cs="Symbol" w:hint="default"/>
        <w:sz w:val="16"/>
      </w:rPr>
    </w:lvl>
  </w:abstractNum>
  <w:abstractNum w:abstractNumId="53">
    <w:lvl w:ilvl="0">
      <w:start w:val="1"/>
      <w:numFmt w:val="bullet"/>
      <w:lvlText w:val=""/>
      <w:lvlJc w:val="start"/>
      <w:pPr>
        <w:tabs>
          <w:tab w:val="num" w:pos="360"/>
        </w:tabs>
        <w:ind w:start="360" w:hanging="360"/>
      </w:pPr>
      <w:rPr>
        <w:rFonts w:ascii="Symbol" w:hAnsi="Symbol" w:cs="Symbol" w:hint="default"/>
        <w:sz w:val="16"/>
      </w:rPr>
    </w:lvl>
  </w:abstractNum>
  <w:abstractNum w:abstractNumId="54">
    <w:lvl w:ilvl="0">
      <w:start w:val="1"/>
      <w:numFmt w:val="bullet"/>
      <w:lvlText w:val=""/>
      <w:lvlJc w:val="start"/>
      <w:pPr>
        <w:tabs>
          <w:tab w:val="num" w:pos="360"/>
        </w:tabs>
        <w:ind w:start="360" w:hanging="360"/>
      </w:pPr>
      <w:rPr>
        <w:rFonts w:ascii="Symbol" w:hAnsi="Symbol" w:cs="Symbol" w:hint="default"/>
        <w:sz w:val="16"/>
      </w:rPr>
    </w:lvl>
  </w:abstractNum>
  <w:abstractNum w:abstractNumId="55">
    <w:lvl w:ilvl="0">
      <w:start w:val="1"/>
      <w:numFmt w:val="bullet"/>
      <w:lvlText w:val=""/>
      <w:lvlJc w:val="start"/>
      <w:pPr>
        <w:tabs>
          <w:tab w:val="num" w:pos="360"/>
        </w:tabs>
        <w:ind w:start="360" w:hanging="360"/>
      </w:pPr>
      <w:rPr>
        <w:rFonts w:ascii="Symbol" w:hAnsi="Symbol" w:cs="Symbol" w:hint="default"/>
        <w:sz w:val="16"/>
      </w:rPr>
    </w:lvl>
  </w:abstractNum>
  <w:abstractNum w:abstractNumId="56">
    <w:lvl w:ilvl="0">
      <w:start w:val="1"/>
      <w:numFmt w:val="bullet"/>
      <w:lvlText w:val=""/>
      <w:lvlJc w:val="start"/>
      <w:pPr>
        <w:tabs>
          <w:tab w:val="num" w:pos="360"/>
        </w:tabs>
        <w:ind w:start="360" w:hanging="360"/>
      </w:pPr>
      <w:rPr>
        <w:rFonts w:ascii="Symbol" w:hAnsi="Symbol" w:cs="Symbol" w:hint="default"/>
        <w:sz w:val="16"/>
      </w:rPr>
    </w:lvl>
  </w:abstractNum>
  <w:abstractNum w:abstractNumId="57">
    <w:lvl w:ilvl="0">
      <w:start w:val="1"/>
      <w:numFmt w:val="bullet"/>
      <w:lvlText w:val=""/>
      <w:lvlJc w:val="start"/>
      <w:pPr>
        <w:tabs>
          <w:tab w:val="num" w:pos="360"/>
        </w:tabs>
        <w:ind w:start="360" w:hanging="360"/>
      </w:pPr>
      <w:rPr>
        <w:rFonts w:ascii="Symbol" w:hAnsi="Symbol" w:cs="Symbol" w:hint="default"/>
        <w:sz w:val="16"/>
      </w:rPr>
    </w:lvl>
  </w:abstractNum>
  <w:abstractNum w:abstractNumId="58">
    <w:lvl w:ilvl="0">
      <w:start w:val="1"/>
      <w:numFmt w:val="bullet"/>
      <w:lvlText w:val=""/>
      <w:lvlJc w:val="start"/>
      <w:pPr>
        <w:tabs>
          <w:tab w:val="num" w:pos="360"/>
        </w:tabs>
        <w:ind w:start="360" w:hanging="360"/>
      </w:pPr>
      <w:rPr>
        <w:rFonts w:ascii="Symbol" w:hAnsi="Symbol" w:cs="Symbol" w:hint="default"/>
        <w:sz w:val="16"/>
      </w:rPr>
    </w:lvl>
  </w:abstractNum>
  <w:abstractNum w:abstractNumId="59">
    <w:lvl w:ilvl="0">
      <w:start w:val="1"/>
      <w:numFmt w:val="bullet"/>
      <w:lvlText w:val=""/>
      <w:lvlJc w:val="start"/>
      <w:pPr>
        <w:tabs>
          <w:tab w:val="num" w:pos="360"/>
        </w:tabs>
        <w:ind w:start="360" w:hanging="360"/>
      </w:pPr>
      <w:rPr>
        <w:rFonts w:ascii="Symbol" w:hAnsi="Symbol" w:cs="Symbol" w:hint="default"/>
        <w:sz w:val="16"/>
      </w:rPr>
    </w:lvl>
  </w:abstractNum>
  <w:abstractNum w:abstractNumId="60">
    <w:lvl w:ilvl="0">
      <w:start w:val="1"/>
      <w:numFmt w:val="bullet"/>
      <w:lvlText w:val=""/>
      <w:lvlJc w:val="start"/>
      <w:pPr>
        <w:tabs>
          <w:tab w:val="num" w:pos="360"/>
        </w:tabs>
        <w:ind w:start="360" w:hanging="360"/>
      </w:pPr>
      <w:rPr>
        <w:rFonts w:ascii="Symbol" w:hAnsi="Symbol" w:cs="Symbol" w:hint="default"/>
        <w:sz w:val="16"/>
      </w:rPr>
    </w:lvl>
  </w:abstractNum>
  <w:abstractNum w:abstractNumId="61">
    <w:lvl w:ilvl="0">
      <w:start w:val="1"/>
      <w:numFmt w:val="bullet"/>
      <w:lvlText w:val=""/>
      <w:lvlJc w:val="start"/>
      <w:pPr>
        <w:tabs>
          <w:tab w:val="num" w:pos="360"/>
        </w:tabs>
        <w:ind w:start="360" w:hanging="360"/>
      </w:pPr>
      <w:rPr>
        <w:rFonts w:ascii="Symbol" w:hAnsi="Symbol" w:cs="Symbol" w:hint="default"/>
        <w:sz w:val="16"/>
      </w:rPr>
    </w:lvl>
  </w:abstractNum>
  <w:abstractNum w:abstractNumId="62">
    <w:lvl w:ilvl="0">
      <w:start w:val="1"/>
      <w:numFmt w:val="bullet"/>
      <w:lvlText w:val=""/>
      <w:lvlJc w:val="start"/>
      <w:pPr>
        <w:tabs>
          <w:tab w:val="num" w:pos="360"/>
        </w:tabs>
        <w:ind w:start="360" w:hanging="360"/>
      </w:pPr>
      <w:rPr>
        <w:rFonts w:ascii="Symbol" w:hAnsi="Symbol" w:cs="Symbol" w:hint="default"/>
        <w:sz w:val="16"/>
      </w:rPr>
    </w:lvl>
  </w:abstractNum>
  <w:abstractNum w:abstractNumId="63">
    <w:lvl w:ilvl="0">
      <w:start w:val="1"/>
      <w:numFmt w:val="bullet"/>
      <w:lvlText w:val=""/>
      <w:lvlJc w:val="start"/>
      <w:pPr>
        <w:tabs>
          <w:tab w:val="num" w:pos="360"/>
        </w:tabs>
        <w:ind w:start="360" w:hanging="360"/>
      </w:pPr>
      <w:rPr>
        <w:rFonts w:ascii="Symbol" w:hAnsi="Symbol" w:cs="Symbol" w:hint="default"/>
        <w:sz w:val="16"/>
      </w:rPr>
    </w:lvl>
  </w:abstractNum>
  <w:abstractNum w:abstractNumId="64">
    <w:lvl w:ilvl="0">
      <w:start w:val="1"/>
      <w:numFmt w:val="bullet"/>
      <w:lvlText w:val=""/>
      <w:lvlJc w:val="start"/>
      <w:pPr>
        <w:tabs>
          <w:tab w:val="num" w:pos="360"/>
        </w:tabs>
        <w:ind w:start="360" w:hanging="360"/>
      </w:pPr>
      <w:rPr>
        <w:rFonts w:ascii="Symbol" w:hAnsi="Symbol" w:cs="Symbol" w:hint="default"/>
        <w:sz w:val="16"/>
      </w:rPr>
    </w:lvl>
  </w:abstractNum>
  <w:abstractNum w:abstractNumId="65">
    <w:lvl w:ilvl="0">
      <w:start w:val="1"/>
      <w:numFmt w:val="bullet"/>
      <w:lvlText w:val=""/>
      <w:lvlJc w:val="start"/>
      <w:pPr>
        <w:tabs>
          <w:tab w:val="num" w:pos="360"/>
        </w:tabs>
        <w:ind w:start="360" w:hanging="360"/>
      </w:pPr>
      <w:rPr>
        <w:rFonts w:ascii="Symbol" w:hAnsi="Symbol" w:cs="Symbol" w:hint="default"/>
        <w:sz w:val="16"/>
      </w:rPr>
    </w:lvl>
  </w:abstractNum>
  <w:abstractNum w:abstractNumId="66">
    <w:lvl w:ilvl="0">
      <w:start w:val="1"/>
      <w:numFmt w:val="bullet"/>
      <w:lvlText w:val=""/>
      <w:lvlJc w:val="start"/>
      <w:pPr>
        <w:tabs>
          <w:tab w:val="num" w:pos="360"/>
        </w:tabs>
        <w:ind w:start="360" w:hanging="360"/>
      </w:pPr>
      <w:rPr>
        <w:rFonts w:ascii="Symbol" w:hAnsi="Symbol" w:cs="Symbol"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b/>
      <w:color w:val="000000"/>
      <w:sz w:val="40"/>
      <w:lang w:eastAsia="en-US"/>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rFonts w:ascii="Symbol" w:hAnsi="Symbol" w:cs="Symbol"/>
      <w:sz w:val="16"/>
    </w:rPr>
  </w:style>
  <w:style w:type="character" w:styleId="WW8Num2z0">
    <w:name w:val="WW8Num2z0"/>
    <w:qFormat/>
    <w:rPr>
      <w:rFonts w:ascii="Symbol" w:hAnsi="Symbol" w:cs="Symbol"/>
      <w:sz w:val="16"/>
    </w:rPr>
  </w:style>
  <w:style w:type="character" w:styleId="WW8Num3z0">
    <w:name w:val="WW8Num3z0"/>
    <w:qFormat/>
    <w:rPr>
      <w:rFonts w:ascii="Symbol" w:hAnsi="Symbol" w:cs="Symbol"/>
      <w:sz w:val="16"/>
    </w:rPr>
  </w:style>
  <w:style w:type="character" w:styleId="WW8Num4z0">
    <w:name w:val="WW8Num4z0"/>
    <w:qFormat/>
    <w:rPr>
      <w:rFonts w:ascii="Symbol" w:hAnsi="Symbol" w:cs="Symbol"/>
      <w:sz w:val="16"/>
    </w:rPr>
  </w:style>
  <w:style w:type="character" w:styleId="WW8Num5z0">
    <w:name w:val="WW8Num5z0"/>
    <w:qFormat/>
    <w:rPr>
      <w:rFonts w:ascii="Symbol" w:hAnsi="Symbol" w:cs="Symbol"/>
    </w:rPr>
  </w:style>
  <w:style w:type="character" w:styleId="WW8Num6z0">
    <w:name w:val="WW8Num6z0"/>
    <w:qFormat/>
    <w:rPr>
      <w:rFonts w:ascii="Arial" w:hAnsi="Arial" w:cs="Arial"/>
      <w:color w:val="000000"/>
    </w:rPr>
  </w:style>
  <w:style w:type="character" w:styleId="WW8Num7z0">
    <w:name w:val="WW8Num7z0"/>
    <w:qFormat/>
    <w:rPr>
      <w:rFonts w:ascii="Symbol" w:hAnsi="Symbol" w:cs="Symbol"/>
      <w:sz w:val="16"/>
    </w:rPr>
  </w:style>
  <w:style w:type="character" w:styleId="WW8Num8z0">
    <w:name w:val="WW8Num8z0"/>
    <w:qFormat/>
    <w:rPr>
      <w:rFonts w:ascii="Symbol" w:hAnsi="Symbol" w:cs="Symbol"/>
      <w:sz w:val="16"/>
    </w:rPr>
  </w:style>
  <w:style w:type="character" w:styleId="WW8Num9z0">
    <w:name w:val="WW8Num9z0"/>
    <w:qFormat/>
    <w:rPr>
      <w:rFonts w:ascii="Symbol" w:hAnsi="Symbol" w:cs="Symbol"/>
    </w:rPr>
  </w:style>
  <w:style w:type="character" w:styleId="WW8Num10z0">
    <w:name w:val="WW8Num10z0"/>
    <w:qFormat/>
    <w:rPr>
      <w:rFonts w:ascii="Symbol" w:hAnsi="Symbol" w:cs="Symbol"/>
      <w:sz w:val="16"/>
    </w:rPr>
  </w:style>
  <w:style w:type="character" w:styleId="WW8Num11z0">
    <w:name w:val="WW8Num11z0"/>
    <w:qFormat/>
    <w:rPr>
      <w:rFonts w:ascii="Symbol" w:hAnsi="Symbol" w:cs="Symbol"/>
      <w:sz w:val="16"/>
    </w:rPr>
  </w:style>
  <w:style w:type="character" w:styleId="WW8Num12z0">
    <w:name w:val="WW8Num12z0"/>
    <w:qFormat/>
    <w:rPr>
      <w:rFonts w:ascii="Symbol" w:hAnsi="Symbol" w:cs="Symbol"/>
      <w:sz w:val="16"/>
    </w:rPr>
  </w:style>
  <w:style w:type="character" w:styleId="WW8Num13z0">
    <w:name w:val="WW8Num13z0"/>
    <w:qFormat/>
    <w:rPr>
      <w:rFonts w:ascii="Symbol" w:hAnsi="Symbol" w:cs="Symbol"/>
    </w:rPr>
  </w:style>
  <w:style w:type="character" w:styleId="WW8Num14z0">
    <w:name w:val="WW8Num14z0"/>
    <w:qFormat/>
    <w:rPr>
      <w:rFonts w:ascii="Symbol" w:hAnsi="Symbol" w:cs="Symbol"/>
      <w:sz w:val="16"/>
    </w:rPr>
  </w:style>
  <w:style w:type="character" w:styleId="WW8Num15z0">
    <w:name w:val="WW8Num15z0"/>
    <w:qFormat/>
    <w:rPr>
      <w:rFonts w:ascii="Symbol" w:hAnsi="Symbol" w:cs="Symbol"/>
      <w:sz w:val="16"/>
    </w:rPr>
  </w:style>
  <w:style w:type="character" w:styleId="WW8Num16z0">
    <w:name w:val="WW8Num16z0"/>
    <w:qFormat/>
    <w:rPr>
      <w:rFonts w:ascii="Symbol" w:hAnsi="Symbol" w:cs="Symbol"/>
    </w:rPr>
  </w:style>
  <w:style w:type="character" w:styleId="WW8Num17z0">
    <w:name w:val="WW8Num17z0"/>
    <w:qFormat/>
    <w:rPr>
      <w:rFonts w:ascii="Symbol" w:hAnsi="Symbol" w:cs="Symbol"/>
      <w:sz w:val="16"/>
    </w:rPr>
  </w:style>
  <w:style w:type="character" w:styleId="WW8Num18z0">
    <w:name w:val="WW8Num18z0"/>
    <w:qFormat/>
    <w:rPr>
      <w:rFonts w:ascii="Symbol" w:hAnsi="Symbol" w:cs="Symbol"/>
      <w:sz w:val="16"/>
    </w:rPr>
  </w:style>
  <w:style w:type="character" w:styleId="WW8Num19z0">
    <w:name w:val="WW8Num19z0"/>
    <w:qFormat/>
    <w:rPr>
      <w:rFonts w:ascii="Symbol" w:hAnsi="Symbol" w:cs="Symbol"/>
      <w:sz w:val="16"/>
    </w:rPr>
  </w:style>
  <w:style w:type="character" w:styleId="WW8Num20z0">
    <w:name w:val="WW8Num20z0"/>
    <w:qFormat/>
    <w:rPr>
      <w:rFonts w:ascii="Symbol" w:hAnsi="Symbol" w:cs="Symbol"/>
      <w:sz w:val="16"/>
    </w:rPr>
  </w:style>
  <w:style w:type="character" w:styleId="WW8Num21z0">
    <w:name w:val="WW8Num21z0"/>
    <w:qFormat/>
    <w:rPr>
      <w:rFonts w:ascii="Book Antiqua" w:hAnsi="Book Antiqua" w:cs="Book Antiqua"/>
      <w:b w:val="false"/>
      <w:i w:val="false"/>
      <w:sz w:val="24"/>
      <w:u w:val="none"/>
    </w:rPr>
  </w:style>
  <w:style w:type="character" w:styleId="WW8Num22z0">
    <w:name w:val="WW8Num22z0"/>
    <w:qFormat/>
    <w:rPr>
      <w:rFonts w:ascii="Symbol" w:hAnsi="Symbol" w:cs="Symbol"/>
      <w:sz w:val="16"/>
    </w:rPr>
  </w:style>
  <w:style w:type="character" w:styleId="WW8Num23z0">
    <w:name w:val="WW8Num23z0"/>
    <w:qFormat/>
    <w:rPr>
      <w:rFonts w:ascii="Symbol" w:hAnsi="Symbol" w:cs="Symbol"/>
      <w:sz w:val="16"/>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Arial" w:hAnsi="Arial" w:cs="Arial"/>
      <w:color w:val="000000"/>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sz w:val="16"/>
    </w:rPr>
  </w:style>
  <w:style w:type="character" w:styleId="WW8Num31z0">
    <w:name w:val="WW8Num31z0"/>
    <w:qFormat/>
    <w:rPr>
      <w:rFonts w:ascii="Symbol" w:hAnsi="Symbol" w:cs="Symbol"/>
      <w:sz w:val="16"/>
    </w:rPr>
  </w:style>
  <w:style w:type="character" w:styleId="WW8Num32z0">
    <w:name w:val="WW8Num32z0"/>
    <w:qFormat/>
    <w:rPr>
      <w:rFonts w:ascii="Symbol" w:hAnsi="Symbol" w:cs="Symbol"/>
      <w:sz w:val="16"/>
    </w:rPr>
  </w:style>
  <w:style w:type="character" w:styleId="WW8Num33z0">
    <w:name w:val="WW8Num33z0"/>
    <w:qFormat/>
    <w:rPr>
      <w:rFonts w:ascii="Symbol" w:hAnsi="Symbol" w:cs="Symbol"/>
      <w:sz w:val="16"/>
    </w:rPr>
  </w:style>
  <w:style w:type="character" w:styleId="WW8Num34z0">
    <w:name w:val="WW8Num34z0"/>
    <w:qFormat/>
    <w:rPr>
      <w:rFonts w:ascii="Symbol" w:hAnsi="Symbol" w:cs="Symbol"/>
      <w:sz w:val="16"/>
    </w:rPr>
  </w:style>
  <w:style w:type="character" w:styleId="WW8Num35z0">
    <w:name w:val="WW8Num35z0"/>
    <w:qFormat/>
    <w:rPr>
      <w:rFonts w:ascii="Symbol" w:hAnsi="Symbol" w:cs="Symbol"/>
      <w:sz w:val="16"/>
    </w:rPr>
  </w:style>
  <w:style w:type="character" w:styleId="WW8Num36z0">
    <w:name w:val="WW8Num36z0"/>
    <w:qFormat/>
    <w:rPr>
      <w:rFonts w:ascii="Symbol" w:hAnsi="Symbol" w:cs="Symbol"/>
    </w:rPr>
  </w:style>
  <w:style w:type="character" w:styleId="WW8Num37z0">
    <w:name w:val="WW8Num37z0"/>
    <w:qFormat/>
    <w:rPr>
      <w:rFonts w:ascii="Symbol" w:hAnsi="Symbol" w:cs="Symbol"/>
      <w:sz w:val="16"/>
    </w:rPr>
  </w:style>
  <w:style w:type="character" w:styleId="WW8Num38z0">
    <w:name w:val="WW8Num38z0"/>
    <w:qFormat/>
    <w:rPr>
      <w:rFonts w:ascii="Symbol" w:hAnsi="Symbol" w:cs="Symbol"/>
    </w:rPr>
  </w:style>
  <w:style w:type="character" w:styleId="WW8Num39z0">
    <w:name w:val="WW8Num39z0"/>
    <w:qFormat/>
    <w:rPr>
      <w:rFonts w:ascii="Symbol" w:hAnsi="Symbol" w:cs="Symbol"/>
      <w:sz w:val="16"/>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sz w:val="16"/>
    </w:rPr>
  </w:style>
  <w:style w:type="character" w:styleId="WW8Num43z0">
    <w:name w:val="WW8Num43z0"/>
    <w:qFormat/>
    <w:rPr>
      <w:rFonts w:ascii="Book Antiqua" w:hAnsi="Book Antiqua" w:cs="Book Antiqua"/>
      <w:b w:val="false"/>
      <w:i w:val="false"/>
      <w:sz w:val="24"/>
      <w:u w:val="none"/>
    </w:rPr>
  </w:style>
  <w:style w:type="character" w:styleId="WW8Num44z0">
    <w:name w:val="WW8Num44z0"/>
    <w:qFormat/>
    <w:rPr>
      <w:rFonts w:ascii="Symbol" w:hAnsi="Symbol" w:cs="Symbol"/>
      <w:sz w:val="16"/>
    </w:rPr>
  </w:style>
  <w:style w:type="character" w:styleId="WW8Num46z0">
    <w:name w:val="WW8Num46z0"/>
    <w:qFormat/>
    <w:rPr>
      <w:rFonts w:ascii="Symbol" w:hAnsi="Symbol" w:cs="Symbol"/>
    </w:rPr>
  </w:style>
  <w:style w:type="character" w:styleId="WW8Num47z0">
    <w:name w:val="WW8Num47z0"/>
    <w:qFormat/>
    <w:rPr>
      <w:rFonts w:ascii="Symbol" w:hAnsi="Symbol" w:cs="Symbol"/>
      <w:sz w:val="16"/>
    </w:rPr>
  </w:style>
  <w:style w:type="character" w:styleId="WW8Num48z0">
    <w:name w:val="WW8Num48z0"/>
    <w:qFormat/>
    <w:rPr>
      <w:rFonts w:ascii="Symbol" w:hAnsi="Symbol" w:cs="Symbol"/>
    </w:rPr>
  </w:style>
  <w:style w:type="character" w:styleId="WW8Num49z0">
    <w:name w:val="WW8Num49z0"/>
    <w:qFormat/>
    <w:rPr>
      <w:rFonts w:ascii="Symbol" w:hAnsi="Symbol" w:cs="Symbol"/>
      <w:sz w:val="16"/>
    </w:rPr>
  </w:style>
  <w:style w:type="character" w:styleId="WW8Num50z0">
    <w:name w:val="WW8Num50z0"/>
    <w:qFormat/>
    <w:rPr>
      <w:rFonts w:ascii="Symbol" w:hAnsi="Symbol" w:cs="Symbol"/>
    </w:rPr>
  </w:style>
  <w:style w:type="character" w:styleId="WW8Num51z0">
    <w:name w:val="WW8Num51z0"/>
    <w:qFormat/>
    <w:rPr>
      <w:rFonts w:ascii="Symbol" w:hAnsi="Symbol" w:cs="Symbol"/>
      <w:sz w:val="16"/>
    </w:rPr>
  </w:style>
  <w:style w:type="character" w:styleId="WW8Num52z0">
    <w:name w:val="WW8Num52z0"/>
    <w:qFormat/>
    <w:rPr>
      <w:rFonts w:ascii="Symbol" w:hAnsi="Symbol" w:cs="Symbol"/>
      <w:sz w:val="16"/>
    </w:rPr>
  </w:style>
  <w:style w:type="character" w:styleId="WW8Num53z0">
    <w:name w:val="WW8Num53z0"/>
    <w:qFormat/>
    <w:rPr>
      <w:rFonts w:ascii="Symbol" w:hAnsi="Symbol" w:cs="Symbol"/>
    </w:rPr>
  </w:style>
  <w:style w:type="character" w:styleId="WW8Num54z0">
    <w:name w:val="WW8Num54z0"/>
    <w:qFormat/>
    <w:rPr>
      <w:rFonts w:ascii="Symbol" w:hAnsi="Symbol" w:cs="Symbol"/>
      <w:sz w:val="16"/>
    </w:rPr>
  </w:style>
  <w:style w:type="character" w:styleId="WW8Num55z0">
    <w:name w:val="WW8Num55z0"/>
    <w:qFormat/>
    <w:rPr>
      <w:rFonts w:ascii="Symbol" w:hAnsi="Symbol" w:cs="Symbol"/>
      <w:sz w:val="16"/>
    </w:rPr>
  </w:style>
  <w:style w:type="character" w:styleId="WW8Num56z0">
    <w:name w:val="WW8Num56z0"/>
    <w:qFormat/>
    <w:rPr>
      <w:rFonts w:ascii="Symbol" w:hAnsi="Symbol" w:cs="Symbol"/>
      <w:sz w:val="16"/>
    </w:rPr>
  </w:style>
  <w:style w:type="character" w:styleId="WW8Num57z0">
    <w:name w:val="WW8Num57z0"/>
    <w:qFormat/>
    <w:rPr>
      <w:rFonts w:ascii="Symbol" w:hAnsi="Symbol" w:cs="Symbol"/>
      <w:sz w:val="16"/>
    </w:rPr>
  </w:style>
  <w:style w:type="character" w:styleId="WW8Num58z0">
    <w:name w:val="WW8Num58z0"/>
    <w:qFormat/>
    <w:rPr>
      <w:rFonts w:ascii="Symbol" w:hAnsi="Symbol" w:cs="Symbol"/>
      <w:sz w:val="16"/>
    </w:rPr>
  </w:style>
  <w:style w:type="character" w:styleId="WW8Num59z0">
    <w:name w:val="WW8Num59z0"/>
    <w:qFormat/>
    <w:rPr>
      <w:rFonts w:ascii="Symbol" w:hAnsi="Symbol" w:cs="Symbol"/>
    </w:rPr>
  </w:style>
  <w:style w:type="character" w:styleId="WW8Num60z0">
    <w:name w:val="WW8Num60z0"/>
    <w:qFormat/>
    <w:rPr>
      <w:rFonts w:ascii="Symbol" w:hAnsi="Symbol" w:cs="Symbol"/>
      <w:sz w:val="16"/>
    </w:rPr>
  </w:style>
  <w:style w:type="character" w:styleId="WW8Num61z0">
    <w:name w:val="WW8Num61z0"/>
    <w:qFormat/>
    <w:rPr>
      <w:rFonts w:ascii="Symbol" w:hAnsi="Symbol" w:cs="Symbol"/>
      <w:sz w:val="16"/>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sz w:val="16"/>
    </w:rPr>
  </w:style>
  <w:style w:type="character" w:styleId="WW8Num65z0">
    <w:name w:val="WW8Num65z0"/>
    <w:qFormat/>
    <w:rPr>
      <w:rFonts w:ascii="Symbol" w:hAnsi="Symbol" w:cs="Symbol"/>
    </w:rPr>
  </w:style>
  <w:style w:type="character" w:styleId="WW8Num66z0">
    <w:name w:val="WW8Num66z0"/>
    <w:qFormat/>
    <w:rPr>
      <w:rFonts w:ascii="Symbol" w:hAnsi="Symbol" w:cs="Symbol"/>
      <w:sz w:val="16"/>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sz w:val="16"/>
    </w:rPr>
  </w:style>
  <w:style w:type="character" w:styleId="WW8Num71z0">
    <w:name w:val="WW8Num71z0"/>
    <w:qFormat/>
    <w:rPr>
      <w:rFonts w:ascii="Symbol" w:hAnsi="Symbol" w:cs="Symbol"/>
      <w:sz w:val="16"/>
    </w:rPr>
  </w:style>
  <w:style w:type="character" w:styleId="WW8Num72z0">
    <w:name w:val="WW8Num72z0"/>
    <w:qFormat/>
    <w:rPr>
      <w:rFonts w:ascii="Symbol" w:hAnsi="Symbol" w:cs="Symbol"/>
      <w:sz w:val="16"/>
    </w:rPr>
  </w:style>
  <w:style w:type="character" w:styleId="WW8Num73z0">
    <w:name w:val="WW8Num73z0"/>
    <w:qFormat/>
    <w:rPr>
      <w:rFonts w:ascii="Symbol" w:hAnsi="Symbol" w:cs="Symbol"/>
      <w:sz w:val="16"/>
    </w:rPr>
  </w:style>
  <w:style w:type="character" w:styleId="WW8Num74z0">
    <w:name w:val="WW8Num74z0"/>
    <w:qFormat/>
    <w:rPr>
      <w:rFonts w:ascii="Symbol" w:hAnsi="Symbol" w:cs="Symbol"/>
    </w:rPr>
  </w:style>
  <w:style w:type="character" w:styleId="WW8Num75z0">
    <w:name w:val="WW8Num75z0"/>
    <w:qFormat/>
    <w:rPr>
      <w:rFonts w:ascii="Symbol" w:hAnsi="Symbol" w:cs="Symbol"/>
      <w:sz w:val="16"/>
    </w:rPr>
  </w:style>
  <w:style w:type="character" w:styleId="WW8Num76z0">
    <w:name w:val="WW8Num76z0"/>
    <w:qFormat/>
    <w:rPr/>
  </w:style>
  <w:style w:type="character" w:styleId="WW8Num78z0">
    <w:name w:val="WW8Num78z0"/>
    <w:qFormat/>
    <w:rPr>
      <w:rFonts w:ascii="Symbol" w:hAnsi="Symbol" w:cs="Symbol"/>
      <w:sz w:val="16"/>
    </w:rPr>
  </w:style>
  <w:style w:type="character" w:styleId="WW8Num79z0">
    <w:name w:val="WW8Num79z0"/>
    <w:qFormat/>
    <w:rPr>
      <w:rFonts w:ascii="Symbol" w:hAnsi="Symbol" w:cs="Symbol"/>
      <w:sz w:val="16"/>
    </w:rPr>
  </w:style>
  <w:style w:type="character" w:styleId="WW8Num80z0">
    <w:name w:val="WW8Num80z0"/>
    <w:qFormat/>
    <w:rPr>
      <w:rFonts w:ascii="Symbol" w:hAnsi="Symbol" w:cs="Symbol"/>
    </w:rPr>
  </w:style>
  <w:style w:type="character" w:styleId="WW8Num81z0">
    <w:name w:val="WW8Num81z0"/>
    <w:qFormat/>
    <w:rPr>
      <w:rFonts w:ascii="Symbol" w:hAnsi="Symbol" w:cs="Symbol"/>
      <w:sz w:val="16"/>
    </w:rPr>
  </w:style>
  <w:style w:type="character" w:styleId="WW8Num82z0">
    <w:name w:val="WW8Num82z0"/>
    <w:qFormat/>
    <w:rPr>
      <w:rFonts w:ascii="Symbol" w:hAnsi="Symbol" w:cs="Symbol"/>
    </w:rPr>
  </w:style>
  <w:style w:type="character" w:styleId="WW8Num83z0">
    <w:name w:val="WW8Num83z0"/>
    <w:qFormat/>
    <w:rPr>
      <w:rFonts w:ascii="Symbol" w:hAnsi="Symbol" w:cs="Symbol"/>
      <w:sz w:val="16"/>
    </w:rPr>
  </w:style>
  <w:style w:type="character" w:styleId="WW8Num84z0">
    <w:name w:val="WW8Num84z0"/>
    <w:qFormat/>
    <w:rPr>
      <w:rFonts w:ascii="Book Antiqua" w:hAnsi="Book Antiqua" w:cs="Book Antiqua"/>
      <w:b w:val="false"/>
      <w:i w:val="false"/>
      <w:sz w:val="24"/>
      <w:u w:val="none"/>
    </w:rPr>
  </w:style>
  <w:style w:type="character" w:styleId="WW8Num85z0">
    <w:name w:val="WW8Num85z0"/>
    <w:qFormat/>
    <w:rPr>
      <w:rFonts w:ascii="Symbol" w:hAnsi="Symbol" w:cs="Symbol"/>
      <w:sz w:val="16"/>
    </w:rPr>
  </w:style>
  <w:style w:type="character" w:styleId="WW8Num86z0">
    <w:name w:val="WW8Num86z0"/>
    <w:qFormat/>
    <w:rPr>
      <w:rFonts w:ascii="Symbol" w:hAnsi="Symbol" w:cs="Symbol"/>
    </w:rPr>
  </w:style>
  <w:style w:type="character" w:styleId="WW8Num87z0">
    <w:name w:val="WW8Num87z0"/>
    <w:qFormat/>
    <w:rPr>
      <w:rFonts w:ascii="Symbol" w:hAnsi="Symbol" w:cs="Symbol"/>
      <w:sz w:val="16"/>
    </w:rPr>
  </w:style>
  <w:style w:type="character" w:styleId="WW8Num88z0">
    <w:name w:val="WW8Num88z0"/>
    <w:qFormat/>
    <w:rPr>
      <w:rFonts w:ascii="Symbol" w:hAnsi="Symbol" w:cs="Symbol"/>
      <w:sz w:val="16"/>
    </w:rPr>
  </w:style>
  <w:style w:type="character" w:styleId="WW8Num89z0">
    <w:name w:val="WW8Num89z0"/>
    <w:qFormat/>
    <w:rPr>
      <w:rFonts w:ascii="Symbol" w:hAnsi="Symbol" w:cs="Symbol"/>
      <w:sz w:val="16"/>
    </w:rPr>
  </w:style>
  <w:style w:type="character" w:styleId="WW8Num90z0">
    <w:name w:val="WW8Num90z0"/>
    <w:qFormat/>
    <w:rPr>
      <w:rFonts w:ascii="Symbol" w:hAnsi="Symbol" w:cs="Symbol"/>
    </w:rPr>
  </w:style>
  <w:style w:type="character" w:styleId="WW8Num91z0">
    <w:name w:val="WW8Num91z0"/>
    <w:qFormat/>
    <w:rPr>
      <w:rFonts w:ascii="Symbol" w:hAnsi="Symbol" w:cs="Symbol"/>
      <w:sz w:val="16"/>
    </w:rPr>
  </w:style>
  <w:style w:type="character" w:styleId="WW8Num92z0">
    <w:name w:val="WW8Num92z0"/>
    <w:qFormat/>
    <w:rPr>
      <w:rFonts w:ascii="Symbol" w:hAnsi="Symbol" w:cs="Symbol"/>
      <w:sz w:val="16"/>
    </w:rPr>
  </w:style>
  <w:style w:type="character" w:styleId="WW8Num93z0">
    <w:name w:val="WW8Num93z0"/>
    <w:qFormat/>
    <w:rPr>
      <w:rFonts w:ascii="Symbol" w:hAnsi="Symbol" w:cs="Symbol"/>
    </w:rPr>
  </w:style>
  <w:style w:type="character" w:styleId="WW8Num94z0">
    <w:name w:val="WW8Num94z0"/>
    <w:qFormat/>
    <w:rPr>
      <w:rFonts w:ascii="Symbol" w:hAnsi="Symbol" w:cs="Symbol"/>
      <w:sz w:val="16"/>
    </w:rPr>
  </w:style>
  <w:style w:type="character" w:styleId="WW8Num95z0">
    <w:name w:val="WW8Num95z0"/>
    <w:qFormat/>
    <w:rPr>
      <w:rFonts w:ascii="Symbol" w:hAnsi="Symbol" w:cs="Symbol"/>
      <w:sz w:val="16"/>
    </w:rPr>
  </w:style>
  <w:style w:type="character" w:styleId="WW8Num96z0">
    <w:name w:val="WW8Num96z0"/>
    <w:qFormat/>
    <w:rPr>
      <w:rFonts w:ascii="Symbol" w:hAnsi="Symbol" w:cs="Symbol"/>
      <w:sz w:val="16"/>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sz w:val="16"/>
    </w:rPr>
  </w:style>
  <w:style w:type="character" w:styleId="WW8Num101z0">
    <w:name w:val="WW8Num101z0"/>
    <w:qFormat/>
    <w:rPr>
      <w:rFonts w:ascii="Symbol" w:hAnsi="Symbol" w:cs="Symbol"/>
      <w:sz w:val="16"/>
    </w:rPr>
  </w:style>
  <w:style w:type="character" w:styleId="WW8Num102z0">
    <w:name w:val="WW8Num102z0"/>
    <w:qFormat/>
    <w:rPr/>
  </w:style>
  <w:style w:type="character" w:styleId="WW8Num103z0">
    <w:name w:val="WW8Num103z0"/>
    <w:qFormat/>
    <w:rPr>
      <w:rFonts w:ascii="Symbol" w:hAnsi="Symbol" w:cs="Symbol"/>
      <w:sz w:val="16"/>
    </w:rPr>
  </w:style>
  <w:style w:type="character" w:styleId="WW8Num104z0">
    <w:name w:val="WW8Num104z0"/>
    <w:qFormat/>
    <w:rPr>
      <w:rFonts w:ascii="Symbol" w:hAnsi="Symbol" w:cs="Symbol"/>
      <w:sz w:val="16"/>
    </w:rPr>
  </w:style>
  <w:style w:type="character" w:styleId="WW8Num105z0">
    <w:name w:val="WW8Num105z0"/>
    <w:qFormat/>
    <w:rPr>
      <w:rFonts w:ascii="Symbol" w:hAnsi="Symbol" w:cs="Symbol"/>
      <w:sz w:val="16"/>
    </w:rPr>
  </w:style>
  <w:style w:type="character" w:styleId="WW8Num107z0">
    <w:name w:val="WW8Num107z0"/>
    <w:qFormat/>
    <w:rPr>
      <w:rFonts w:ascii="Symbol" w:hAnsi="Symbol" w:cs="Symbol"/>
    </w:rPr>
  </w:style>
  <w:style w:type="character" w:styleId="WW8Num108z0">
    <w:name w:val="WW8Num108z0"/>
    <w:qFormat/>
    <w:rPr>
      <w:rFonts w:ascii="Symbol" w:hAnsi="Symbol" w:cs="Symbol"/>
      <w:sz w:val="16"/>
    </w:rPr>
  </w:style>
  <w:style w:type="character" w:styleId="WW8Num109z0">
    <w:name w:val="WW8Num109z0"/>
    <w:qFormat/>
    <w:rPr>
      <w:rFonts w:ascii="Symbol" w:hAnsi="Symbol" w:cs="Symbol"/>
      <w:sz w:val="16"/>
    </w:rPr>
  </w:style>
  <w:style w:type="character" w:styleId="WW8Num110z0">
    <w:name w:val="WW8Num110z0"/>
    <w:qFormat/>
    <w:rPr>
      <w:rFonts w:ascii="Symbol" w:hAnsi="Symbol" w:cs="Symbol"/>
    </w:rPr>
  </w:style>
  <w:style w:type="character" w:styleId="WW8Num111z0">
    <w:name w:val="WW8Num111z0"/>
    <w:qFormat/>
    <w:rPr>
      <w:rFonts w:ascii="Symbol" w:hAnsi="Symbol" w:cs="Symbol"/>
      <w:sz w:val="16"/>
    </w:rPr>
  </w:style>
  <w:style w:type="character" w:styleId="WW8NumSt4z0">
    <w:name w:val="WW8NumSt4z0"/>
    <w:qFormat/>
    <w:rPr>
      <w:rFonts w:ascii="Book Antiqua" w:hAnsi="Book Antiqua" w:cs="Book Antiqua"/>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b/>
      <w:color w:val="000000"/>
      <w:sz w:val="32"/>
      <w:lang w:eastAsia="en-US"/>
    </w:rPr>
  </w:style>
  <w:style w:type="paragraph" w:styleId="BodyText">
    <w:name w:val="Body Text"/>
    <w:basedOn w:val="Normal"/>
    <w:pPr>
      <w:numPr>
        <w:ilvl w:val="0"/>
        <w:numId w:val="0"/>
      </w:numPr>
      <w:ind w:hanging="0" w:start="0" w:end="0"/>
    </w:pPr>
    <w:rPr>
      <w:b/>
      <w:i/>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numPr>
        <w:ilvl w:val="0"/>
        <w:numId w:val="0"/>
      </w:numPr>
      <w:ind w:hanging="0" w:start="0" w:end="0"/>
    </w:pPr>
    <w:rPr>
      <w:b/>
      <w:i/>
      <w:sz w:val="24"/>
    </w:rPr>
  </w:style>
  <w:style w:type="paragraph" w:styleId="BodyText3">
    <w:name w:val="Body Text 3"/>
    <w:basedOn w:val="Normal"/>
    <w:qFormat/>
    <w:pPr>
      <w:spacing w:lineRule="auto" w:line="48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1999-12-02T15:39:00Z</dcterms:created>
  <dc:creator>ccooney</dc:creator>
  <dc:description/>
  <dc:language>en-CA</dc:language>
  <cp:lastModifiedBy>ccooney</cp:lastModifiedBy>
  <cp:lastPrinted>1999-12-06T18:36:00Z</cp:lastPrinted>
  <dcterms:modified xsi:type="dcterms:W3CDTF">2000-01-06T12:08:00Z</dcterms:modified>
  <cp:revision>63</cp:revision>
  <dc:subject/>
  <dc:title>ENRON, WASHINGTON</dc:title>
</cp:coreProperties>
</file>