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xml:space="preserve">, 2001,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FIMAT USA, Inc., whose address is </w:t>
      </w:r>
      <w:r>
        <w:rPr>
          <w:sz w:val="22"/>
          <w:u w:val="single"/>
        </w:rPr>
        <w:tab/>
        <w:tab/>
        <w:tab/>
        <w:tab/>
        <w:tab/>
        <w:tab/>
      </w:r>
      <w:r>
        <w:rPr>
          <w:sz w:val="22"/>
        </w:rPr>
        <w:t xml:space="preserve"> ("FIMAT”), shall be purchasing and selling commodity futures contracts, options on commodity futures contracts, foreign futures contracts, options on foreign futures contracts, securities and securities options, derivative instruments, spot and forward contracts, physical commodities, cash and other properties and options thereon and/or currencies and foreign exchange contracts and options thereon (collectively defined as “Transactions”), as agent for ENRON NORTH AMERICA CORP., a Delaware corporation (“Enron”), a wholly owned subsidiary of Guarantor, in accordance with the oral or written instructions of Enron, pursuant to a Customer Agreement dated as of December 15, 2000, as the same may be amended, extended, renewed, or otherwise modified from time to time,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FIMAT.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FIMAT under the Contract.  This Guaranty shall constitute a guarantee of payment and not of collection.  The liability of Guarantor under this Guaranty shall be subject to the following:</w:t>
      </w:r>
    </w:p>
    <w:p>
      <w:pPr>
        <w:pStyle w:val="BodyTextIndent3"/>
        <w:widowControl w:val="false"/>
        <w:numPr>
          <w:ilvl w:val="0"/>
          <w:numId w:val="2"/>
        </w:numPr>
        <w:spacing w:lineRule="exact" w:line="240" w:before="240" w:after="0"/>
        <w:rPr/>
      </w:pPr>
      <w:r>
        <w:rPr/>
        <w:t>Guarantor’s liability hereunder shall be and is specifically limited to payments expressly required to be made under the Contract (even if such payments are deemed to be damages) and, in no event shall Guarantor be subject hereunder to consequential, exemplary, equitable, loss of profits, punitive, tort, or any other indirect damages.</w:t>
      </w:r>
    </w:p>
    <w:p>
      <w:pPr>
        <w:pStyle w:val="BodyTextIndent3"/>
        <w:widowControl w:val="false"/>
        <w:numPr>
          <w:ilvl w:val="0"/>
          <w:numId w:val="2"/>
        </w:numPr>
        <w:spacing w:lineRule="exact" w:line="240" w:before="240" w:after="0"/>
        <w:rPr/>
      </w:pPr>
      <w:r>
        <w:rPr/>
        <w:t xml:space="preserve">The aggregate amount covered by this Guaranty [shall not exceed the difference between (i) all amounts owing to FIMAT with the Transactions under the Contract and (ii) the amount received by FIMAT from Société Générale for the use of Enron pursuant to the Credit Facility Agreement dated December 12, 2000, executed by and among Société Générale, FIMAT and Enron, up to a maximum aggregate amount of Twenty (20) Million U.S. Dollars ($20,000,000).] </w:t>
      </w:r>
    </w:p>
    <w:p>
      <w:pPr>
        <w:pStyle w:val="Normal"/>
        <w:spacing w:lineRule="atLeast" w:line="240"/>
        <w:jc w:val="both"/>
        <w:rPr>
          <w:sz w:val="22"/>
          <w:u w:val="single"/>
        </w:rPr>
      </w:pPr>
      <w:r>
        <w:rPr>
          <w:sz w:val="22"/>
          <w:u w:val="single"/>
        </w:rPr>
      </w:r>
    </w:p>
    <w:p>
      <w:pPr>
        <w:pStyle w:val="Normal"/>
        <w:spacing w:lineRule="atLeast" w:line="240"/>
        <w:ind w:firstLine="720" w:end="0"/>
        <w:jc w:val="both"/>
        <w:rPr/>
      </w:pPr>
      <w:r>
        <w:rPr>
          <w:sz w:val="22"/>
        </w:rPr>
        <w:t xml:space="preserve">2.  </w:t>
      </w:r>
      <w:r>
        <w:rPr>
          <w:sz w:val="22"/>
          <w:u w:val="single"/>
        </w:rPr>
        <w:t>DEMANDS AND NOTICE</w:t>
      </w:r>
      <w:r>
        <w:rPr>
          <w:sz w:val="22"/>
        </w:rPr>
        <w:t>.  If for any reason Enron fails to pay any Obligations and FIMAT has elected to exercise its rights under this Guaranty, FIMAT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FIMAT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All payments by Guarantor under this Guaranty shall be made by wire transfer of immediately available funds in U.S. dollars to a bank account designated by FIMAT.  As used herein, the term “Business Day” shall mean a day on which commercial banks are open for business in Housotn, Texas and New York, New York.</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FIMAT.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or any other notice of any kind other than a Payment Demand; (b) presentment and demand concerning the liabilities of Guarantor, except as expressly hereinabove set forth; and (c) any right to require that any action or proceeding be brought against Enron or any other person, or except as expressly hereinabove set forth, to require that Bank seek enforcement of any performance against Enron or any other person, or against any property or collateral,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FIMAT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FIMAT and upon the effectiveness of such termination, Guarantor shall have no further liability hereunder, except as provided in the last sentence of this paragraph.  No such termination shall be effective until five (5) Business Days after receipt by FIMAT of such termination notice.  No such termination shall affect Guarantor's liability with respect to any Transaction executed prior to the time the termination is effective, which Transaction shall remain guaranteed pursuant to the terms of this Guaranty.</w:t>
      </w:r>
      <w:r>
        <w:br w:type="page"/>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FIMAT:</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FIMAT USA, Inc.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1001 West Loop South, Ste. 850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Houston, Texas  77027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sz w:val="22"/>
              </w:rPr>
              <w:t xml:space="preserve">Attn:  </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sz w:val="22"/>
              </w:rPr>
              <w:t>Fax:  (713) 650-0824</w:t>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keepNext w:val="true"/>
        <w:spacing w:before="240" w:after="0"/>
        <w:jc w:val="both"/>
        <w:rPr>
          <w:sz w:val="22"/>
        </w:rPr>
      </w:pPr>
      <w:r>
        <w:rPr>
          <w:sz w:val="22"/>
        </w:rPr>
        <w:t>A copy of any Notice sent to FIMAT pursuant hereto must also be sent to the following:</w:t>
      </w:r>
    </w:p>
    <w:p>
      <w:pPr>
        <w:pStyle w:val="Normal"/>
        <w:ind w:firstLine="90" w:end="0"/>
        <w:jc w:val="both"/>
        <w:rPr>
          <w:sz w:val="22"/>
        </w:rPr>
      </w:pPr>
      <w:r>
        <w:rPr>
          <w:sz w:val="22"/>
        </w:rPr>
      </w:r>
    </w:p>
    <w:p>
      <w:pPr>
        <w:pStyle w:val="Normal"/>
        <w:jc w:val="both"/>
        <w:rPr/>
      </w:pPr>
      <w:r>
        <w:rPr>
          <w:sz w:val="22"/>
        </w:rPr>
        <w:tab/>
        <w:tab/>
      </w:r>
      <w:r>
        <w:rPr>
          <w:sz w:val="22"/>
          <w:u w:val="single"/>
        </w:rPr>
        <w:tab/>
        <w:tab/>
        <w:tab/>
        <w:tab/>
      </w:r>
    </w:p>
    <w:p>
      <w:pPr>
        <w:pStyle w:val="Normal"/>
        <w:jc w:val="both"/>
        <w:rPr/>
      </w:pPr>
      <w:r>
        <w:rPr>
          <w:sz w:val="22"/>
        </w:rPr>
        <w:tab/>
        <w:tab/>
      </w:r>
      <w:r>
        <w:rPr>
          <w:sz w:val="22"/>
          <w:u w:val="single"/>
        </w:rPr>
        <w:tab/>
        <w:tab/>
        <w:tab/>
        <w:tab/>
      </w:r>
    </w:p>
    <w:p>
      <w:pPr>
        <w:pStyle w:val="Normal"/>
        <w:jc w:val="both"/>
        <w:rPr/>
      </w:pPr>
      <w:r>
        <w:rPr>
          <w:sz w:val="22"/>
        </w:rPr>
        <w:tab/>
        <w:tab/>
      </w:r>
      <w:r>
        <w:rPr>
          <w:sz w:val="22"/>
          <w:u w:val="single"/>
        </w:rPr>
        <w:tab/>
        <w:tab/>
        <w:tab/>
        <w:tab/>
      </w:r>
    </w:p>
    <w:p>
      <w:pPr>
        <w:pStyle w:val="Normal"/>
        <w:tabs>
          <w:tab w:val="clear" w:pos="720"/>
          <w:tab w:val="left" w:pos="2880" w:leader="none"/>
          <w:tab w:val="left" w:pos="6480" w:leader="none"/>
        </w:tabs>
        <w:spacing w:lineRule="exact" w:line="240"/>
        <w:ind w:start="720" w:end="0"/>
        <w:jc w:val="both"/>
        <w:rPr>
          <w:sz w:val="22"/>
        </w:rPr>
      </w:pPr>
      <w:r>
        <w:rPr>
          <w:sz w:val="22"/>
        </w:rPr>
        <w:tab/>
      </w:r>
    </w:p>
    <w:p>
      <w:pPr>
        <w:pStyle w:val="BodyTextIndent"/>
        <w:spacing w:lineRule="atLeast" w:line="240"/>
        <w:ind w:hanging="0" w:end="0"/>
        <w:rPr>
          <w:rFonts w:ascii="Tms Rmn;Times New Roman" w:hAnsi="Tms Rmn;Times New Roman" w:cs="Tms Rmn;Times New Roman"/>
        </w:rPr>
      </w:pPr>
      <w:r>
        <w:rPr>
          <w:rFonts w:cs="Tms Rmn;Times New Roman" w:ascii="Tms Rmn;Times New Roman" w:hAnsi="Tms Rmn;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rFonts w:ascii="Tms Rmn;Times New Roman" w:hAnsi="Tms Rmn;Times New Roman" w:cs="Tms Rmn;Times New Roman"/>
          <w:sz w:val="22"/>
        </w:rPr>
      </w:pPr>
      <w:r>
        <w:rPr>
          <w:rFonts w:cs="Tms Rmn;Times New Roman"/>
          <w:sz w:val="22"/>
        </w:rPr>
      </w:r>
    </w:p>
    <w:p>
      <w:pPr>
        <w:pStyle w:val="Normal"/>
        <w:spacing w:lineRule="atLeast" w:line="240"/>
        <w:ind w:firstLine="720" w:end="0"/>
        <w:jc w:val="both"/>
        <w:rPr>
          <w:sz w:val="22"/>
        </w:rPr>
      </w:pPr>
      <w:r>
        <w:rPr>
          <w:sz w:val="22"/>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This Guaranty shall be binding upon Guarantor, its successors and assigns and inure to the benefit of and be enforceable by FIMAT, its successors and assigns.  This Guaranty embodies the entire agreement and understanding between Guarantor and FIMAT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r>
        <w:br w:type="page"/>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pPr>
      <w:r>
        <w:rPr>
          <w:sz w:val="22"/>
        </w:rPr>
        <w:t xml:space="preserve">Name:  </w:t>
      </w:r>
      <w:r>
        <w:rPr>
          <w:sz w:val="22"/>
          <w:u w:val="single"/>
        </w:rPr>
        <w:tab/>
        <w:tab/>
        <w:tab/>
        <w:tab/>
        <w:tab/>
        <w:tab/>
      </w:r>
    </w:p>
    <w:p>
      <w:pPr>
        <w:pStyle w:val="Normal"/>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/mnt/main-storage/datasets/enron-docs/doc/FIMAT_USA.doc</w:t>
    </w:r>
    <w:r>
      <w:rPr>
        <w:sz w:val="18"/>
      </w:rPr>
      <w:fldChar w:fldCharType="end"/>
    </w:r>
  </w:p>
  <w:p>
    <w:pPr>
      <w:pStyle w:val="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215"/>
        </w:tabs>
        <w:ind w:start="1215" w:hanging="495"/>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sz w:val="24"/>
    </w:rPr>
  </w:style>
  <w:style w:type="character" w:styleId="WW8Num10z0">
    <w:name w:val="WW8Num10z0"/>
    <w:qFormat/>
    <w:rPr>
      <w:rFonts w:ascii="Wingdings" w:hAnsi="Wingdings" w:cs="Wingdings"/>
      <w:sz w:val="24"/>
    </w:rPr>
  </w:style>
  <w:style w:type="character" w:styleId="WW8Num11z0">
    <w:name w:val="WW8Num11z0"/>
    <w:qFormat/>
    <w:rPr/>
  </w:style>
  <w:style w:type="character" w:styleId="WW8Num12z0">
    <w:name w:val="WW8Num12z0"/>
    <w:qFormat/>
    <w:rPr>
      <w:rFonts w:ascii="Wingdings" w:hAnsi="Wingdings" w:cs="Wingdings"/>
      <w:sz w:val="24"/>
    </w:rPr>
  </w:style>
  <w:style w:type="character" w:styleId="WW8Num13z0">
    <w:name w:val="WW8Num13z0"/>
    <w:qFormat/>
    <w:rPr>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sz w:val="24"/>
    </w:rPr>
  </w:style>
  <w:style w:type="character" w:styleId="WW8Num19z0">
    <w:name w:val="WW8Num19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paragraph" w:styleId="BodyTextIndent3">
    <w:name w:val="Body Text Indent 3"/>
    <w:basedOn w:val="Normal"/>
    <w:qFormat/>
    <w:pPr>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2001-11-05T19:08:00Z</dcterms:created>
  <dc:creator>carolyn creel</dc:creator>
  <dc:description/>
  <dc:language>en-CA</dc:language>
  <cp:lastModifiedBy>sshackl</cp:lastModifiedBy>
  <cp:lastPrinted>2001-11-05T16:53:00Z</cp:lastPrinted>
  <dcterms:modified xsi:type="dcterms:W3CDTF">2001-11-05T20:24:00Z</dcterms:modified>
  <cp:revision>8</cp:revision>
  <dc:subject>short form</dc:subject>
  <dc:title>letter of understanding/Term Sheet</dc:title>
</cp:coreProperties>
</file>