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INFORMATION SERVICES AGREEMENT</w:t>
      </w:r>
    </w:p>
    <w:p>
      <w:pPr>
        <w:pStyle w:val="Normal"/>
        <w:jc w:val="both"/>
        <w:rPr>
          <w:b/>
          <w:bCs/>
          <w:u w:val="single"/>
        </w:rPr>
      </w:pPr>
      <w:r>
        <w:rPr>
          <w:b/>
          <w:bCs/>
          <w:u w:val="single"/>
        </w:rPr>
      </w:r>
    </w:p>
    <w:p>
      <w:pPr>
        <w:pStyle w:val="Normal"/>
        <w:ind w:firstLine="720" w:end="0"/>
        <w:jc w:val="both"/>
        <w:rPr/>
      </w:pPr>
      <w:r>
        <w:rPr/>
        <w:t>This Information Services Agreement (this “</w:t>
      </w:r>
      <w:r>
        <w:rPr>
          <w:u w:val="single"/>
        </w:rPr>
        <w:t>Agreement</w:t>
      </w:r>
      <w:r>
        <w:rPr/>
        <w:t>”) is made and entered into as of the __ day of November, 2001 between Enron Net Works LLC, a Delaware limited liability company, with offices at 1400 Smith Street, Houston, Texas 77002 (“</w:t>
      </w:r>
      <w:r>
        <w:rPr>
          <w:u w:val="single"/>
        </w:rPr>
        <w:t>Enron</w:t>
      </w:r>
      <w:r>
        <w:rPr/>
        <w:t>”) and Energy Argus Incorporated, a Delaware corporation with offices at 129 Washington Street, Suite 400, Hoboken, New Jersey 07030 (“</w:t>
      </w:r>
      <w:r>
        <w:rPr>
          <w:u w:val="single"/>
        </w:rPr>
        <w:t>Argus</w:t>
      </w:r>
      <w:r>
        <w:rPr/>
        <w:t>”).</w:t>
      </w:r>
    </w:p>
    <w:p>
      <w:pPr>
        <w:pStyle w:val="Normal"/>
        <w:ind w:firstLine="720" w:end="0"/>
        <w:jc w:val="both"/>
        <w:rPr/>
      </w:pPr>
      <w:r>
        <w:rPr/>
      </w:r>
    </w:p>
    <w:p>
      <w:pPr>
        <w:pStyle w:val="Normal"/>
        <w:ind w:firstLine="720" w:end="0"/>
        <w:jc w:val="both"/>
        <w:rPr/>
      </w:pPr>
      <w:r>
        <w:rPr/>
        <w:t>WHEREAS, Enron is the owner and operator of the Enron Website (as defined below);</w:t>
      </w:r>
    </w:p>
    <w:p>
      <w:pPr>
        <w:pStyle w:val="Normal"/>
        <w:ind w:firstLine="720" w:end="0"/>
        <w:jc w:val="both"/>
        <w:rPr/>
      </w:pPr>
      <w:r>
        <w:rPr/>
      </w:r>
    </w:p>
    <w:p>
      <w:pPr>
        <w:pStyle w:val="Normal"/>
        <w:ind w:firstLine="720" w:end="0"/>
        <w:jc w:val="both"/>
        <w:rPr/>
      </w:pPr>
      <w:r>
        <w:rPr/>
        <w:t>WHEREAS, Argus publishes, acquires and compiles certain information associated with air emissions (primarily from the U.S. electric utility industry) and U.S. and European steam coal markets;</w:t>
      </w:r>
    </w:p>
    <w:p>
      <w:pPr>
        <w:pStyle w:val="Normal"/>
        <w:ind w:firstLine="720" w:end="0"/>
        <w:jc w:val="both"/>
        <w:rPr/>
      </w:pPr>
      <w:r>
        <w:rPr/>
      </w:r>
    </w:p>
    <w:p>
      <w:pPr>
        <w:pStyle w:val="Normal"/>
        <w:ind w:firstLine="720" w:end="0"/>
        <w:jc w:val="both"/>
        <w:rPr/>
      </w:pPr>
      <w:r>
        <w:rPr/>
        <w:t>WHEREAS, Enron desires that Argus provide Enron with certain daily reports in PDF Format or other agreed upon format so that Enron may post such reports on the Enron Website and Argus has agreed to provide Enron with such reports; and</w:t>
      </w:r>
    </w:p>
    <w:p>
      <w:pPr>
        <w:pStyle w:val="Normal"/>
        <w:ind w:firstLine="720" w:end="0"/>
        <w:jc w:val="both"/>
        <w:rPr/>
      </w:pPr>
      <w:r>
        <w:rPr/>
      </w:r>
    </w:p>
    <w:p>
      <w:pPr>
        <w:pStyle w:val="Normal"/>
        <w:ind w:firstLine="720" w:end="0"/>
        <w:jc w:val="both"/>
        <w:rPr/>
      </w:pPr>
      <w:r>
        <w:rPr/>
        <w:t>WHEREAS, the parties wish to enter into this Agreement subject to the terms and conditions contained herein.</w:t>
      </w:r>
    </w:p>
    <w:p>
      <w:pPr>
        <w:pStyle w:val="Normal"/>
        <w:ind w:firstLine="720" w:end="0"/>
        <w:jc w:val="both"/>
        <w:rPr/>
      </w:pPr>
      <w:r>
        <w:rPr/>
      </w:r>
    </w:p>
    <w:p>
      <w:pPr>
        <w:pStyle w:val="Normal"/>
        <w:ind w:firstLine="720" w:end="0"/>
        <w:jc w:val="both"/>
        <w:rPr/>
      </w:pPr>
      <w:r>
        <w:rPr/>
        <w:t>NOW, THEREFORE, in consideration of the mutual promises contained herein, the parties agree as follows:</w:t>
      </w:r>
    </w:p>
    <w:p>
      <w:pPr>
        <w:pStyle w:val="Normal"/>
        <w:ind w:firstLine="720" w:end="0"/>
        <w:jc w:val="both"/>
        <w:rPr/>
      </w:pPr>
      <w:r>
        <w:rPr/>
      </w:r>
    </w:p>
    <w:p>
      <w:pPr>
        <w:pStyle w:val="Normal"/>
        <w:jc w:val="both"/>
        <w:rPr/>
      </w:pPr>
      <w:r>
        <w:rPr/>
        <w:t>1.</w:t>
        <w:tab/>
      </w:r>
      <w:r>
        <w:rPr>
          <w:u w:val="single"/>
        </w:rPr>
        <w:t>Definitions</w:t>
      </w:r>
      <w:r>
        <w:rPr/>
        <w:t>.  The following capitalized terms when used in this Agreement shall have the following meanings:</w:t>
      </w:r>
    </w:p>
    <w:p>
      <w:pPr>
        <w:pStyle w:val="Normal"/>
        <w:jc w:val="both"/>
        <w:rPr/>
      </w:pPr>
      <w:r>
        <w:rPr/>
      </w:r>
    </w:p>
    <w:p>
      <w:pPr>
        <w:pStyle w:val="Norma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ind w:start="720" w:end="0"/>
        <w:jc w:val="both"/>
        <w:rPr/>
      </w:pPr>
      <w:r>
        <w:rPr/>
      </w:r>
    </w:p>
    <w:p>
      <w:pPr>
        <w:pStyle w:val="Normal"/>
        <w:ind w:start="720" w:end="0"/>
        <w:jc w:val="both"/>
        <w:rPr/>
      </w:pPr>
      <w:r>
        <w:rPr/>
        <w:t>“</w:t>
      </w:r>
      <w:r>
        <w:rPr>
          <w:u w:val="single"/>
        </w:rPr>
        <w:t>Attrition Rate</w:t>
      </w:r>
      <w:r>
        <w:rPr/>
        <w:t>” shall mean a ratio, the numerator of which is the number of Subscribers as of the Commencement Date who are also Users during the Term and who cancel or otherwise do not continue a subscription to the Publications during the Term and the denominator of which is the total number of Subscribers as of the Commencement Date who are also Users during the Term.</w:t>
      </w:r>
    </w:p>
    <w:p>
      <w:pPr>
        <w:pStyle w:val="Normal"/>
        <w:ind w:start="720" w:end="0"/>
        <w:jc w:val="both"/>
        <w:rPr/>
      </w:pPr>
      <w:r>
        <w:rPr/>
      </w:r>
    </w:p>
    <w:p>
      <w:pPr>
        <w:pStyle w:val="Normal"/>
        <w:ind w:start="720" w:end="0"/>
        <w:jc w:val="both"/>
        <w:rPr/>
      </w:pPr>
      <w:r>
        <w:rPr/>
        <w:t>“</w:t>
      </w:r>
      <w:r>
        <w:rPr>
          <w:u w:val="single"/>
        </w:rPr>
        <w:t>Business Day</w:t>
      </w:r>
      <w:r>
        <w:rPr/>
        <w:t>” shall mean day on which commercial banks are open for business in New York.</w:t>
      </w:r>
    </w:p>
    <w:p>
      <w:pPr>
        <w:pStyle w:val="Normal"/>
        <w:ind w:start="720" w:end="0"/>
        <w:jc w:val="both"/>
        <w:rPr/>
      </w:pPr>
      <w:r>
        <w:rPr/>
      </w:r>
    </w:p>
    <w:p>
      <w:pPr>
        <w:pStyle w:val="Normal"/>
        <w:ind w:start="720" w:end="0"/>
        <w:jc w:val="both"/>
        <w:rPr/>
      </w:pPr>
      <w:r>
        <w:rPr/>
        <w:t>“</w:t>
      </w:r>
      <w:r>
        <w:rPr>
          <w:u w:val="single"/>
        </w:rPr>
        <w:t>Enron Website</w:t>
      </w:r>
      <w:r>
        <w:rPr/>
        <w:t xml:space="preserve">” shall mean the website maintained by or for Enron and/or its affiliates located at </w:t>
      </w:r>
      <w:hyperlink r:id="rId2">
        <w:r>
          <w:rPr>
            <w:rStyle w:val="Hyperlink"/>
          </w:rPr>
          <w:t>http://www.enrononline.com</w:t>
        </w:r>
      </w:hyperlink>
      <w:r>
        <w:rPr/>
        <w:t xml:space="preserve"> (and/or any successor or additional addresses).</w:t>
      </w:r>
    </w:p>
    <w:p>
      <w:pPr>
        <w:pStyle w:val="Normal"/>
        <w:ind w:start="720" w:end="0"/>
        <w:jc w:val="both"/>
        <w:rPr/>
      </w:pPr>
      <w:r>
        <w:rPr/>
      </w:r>
    </w:p>
    <w:p>
      <w:pPr>
        <w:pStyle w:val="Normal"/>
        <w:ind w:start="720" w:end="0"/>
        <w:jc w:val="both"/>
        <w:rPr/>
      </w:pPr>
      <w:r>
        <w:rPr/>
        <w:t>“</w:t>
      </w:r>
      <w:r>
        <w:rPr>
          <w:u w:val="single"/>
        </w:rPr>
        <w:t>Publications</w:t>
      </w:r>
      <w:r>
        <w:rPr/>
        <w:t>” shall mean the daily publications written or produced by Argus and/or its affiliates and/or their successors and assigns, currently known as “AIR Daily” and “COAL Daily” or any successor publications produced by Argus which pertain to air emissions or the U.S. and/or European steam coal markets.  Publications shall be deemed to include (i) all news stories, articles, editorials, news and market commentary and analytical pieces or other content from the Publications each day and (ii) price updates on coal, price assessments, charts and U.S. and International COAL daily prices.</w:t>
      </w:r>
    </w:p>
    <w:p>
      <w:pPr>
        <w:pStyle w:val="Normal"/>
        <w:ind w:start="720" w:end="0"/>
        <w:jc w:val="both"/>
        <w:rPr/>
      </w:pPr>
      <w:r>
        <w:rPr/>
      </w:r>
    </w:p>
    <w:p>
      <w:pPr>
        <w:pStyle w:val="Norma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ind w:start="720" w:end="0"/>
        <w:jc w:val="both"/>
        <w:rPr/>
      </w:pPr>
      <w:r>
        <w:rPr/>
      </w:r>
    </w:p>
    <w:p>
      <w:pPr>
        <w:pStyle w:val="Normal"/>
        <w:ind w:start="720" w:end="0"/>
        <w:jc w:val="both"/>
        <w:rPr/>
      </w:pPr>
      <w:r>
        <w:rPr/>
        <w:t>“</w:t>
      </w:r>
      <w:r>
        <w:rPr>
          <w:u w:val="single"/>
        </w:rPr>
        <w:t>User</w:t>
      </w:r>
      <w:r>
        <w:rPr/>
        <w:t>” shall mean a person with a unique password and user name (other than Enron or any affiliate of Enron and their respective employees) who accesses the Publications on the Enron Website an average of three times or more per week over the period of any given quarter.</w:t>
      </w:r>
    </w:p>
    <w:p>
      <w:pPr>
        <w:pStyle w:val="Normal"/>
        <w:ind w:start="720" w:end="0"/>
        <w:jc w:val="both"/>
        <w:rPr/>
      </w:pPr>
      <w:r>
        <w:rPr/>
      </w:r>
    </w:p>
    <w:p>
      <w:pPr>
        <w:pStyle w:val="Normal"/>
        <w:jc w:val="both"/>
        <w:rPr/>
      </w:pPr>
      <w:r>
        <w:rPr/>
        <w:t>2.</w:t>
        <w:tab/>
      </w:r>
      <w:r>
        <w:rPr>
          <w:u w:val="single"/>
        </w:rPr>
        <w:t>Term and Service</w:t>
      </w:r>
      <w:r>
        <w:rPr/>
        <w:t>.  Commencing on ___________________, 2001 (the “</w:t>
      </w:r>
      <w:r>
        <w:rPr>
          <w:u w:val="single"/>
        </w:rPr>
        <w:t>Commencement Date</w:t>
      </w:r>
      <w:r>
        <w:rPr/>
        <w:t>”) and continuing each day thereafter up to and including the day before the one year anniversary of the Commencement Date (the “</w:t>
      </w:r>
      <w:r>
        <w:rPr>
          <w:u w:val="single"/>
        </w:rPr>
        <w:t>Term</w:t>
      </w:r>
      <w:r>
        <w:rPr/>
        <w:t>”), Argus shall provide or make available the Publications to Enron on no less than two hundred forty-five (245) weekdays via FTP (File Transfer Protocol) or via a website which can be accessed by Enron or via email addresses specified by Enron, prior to 11:59 P.M. Eastern Standard Time (EST) of a Business Day in PDF Format or any other format mutually agreed to by the parties (the ”</w:t>
      </w:r>
      <w:r>
        <w:rPr>
          <w:u w:val="single"/>
        </w:rPr>
        <w:t>Service</w:t>
      </w:r>
      <w:r>
        <w:rPr/>
        <w:t>”) so that Enron may post such Publications on the Enron Website.  Except as otherwise set forth herein, Enron shall not modify or edit the Publications.  Argus shall insure that there are no references to corporate sponsors in the Publications provided to Enron and in the event there are such references, Enron may remove such references at its sole discretion.</w:t>
      </w:r>
    </w:p>
    <w:p>
      <w:pPr>
        <w:pStyle w:val="Normal"/>
        <w:jc w:val="both"/>
        <w:rPr/>
      </w:pPr>
      <w:r>
        <w:rPr/>
      </w:r>
    </w:p>
    <w:p>
      <w:pPr>
        <w:pStyle w:val="Normal"/>
        <w:rPr/>
      </w:pPr>
      <w:r>
        <w:rPr/>
        <w:t>3.</w:t>
        <w:tab/>
        <w:t>INTENTIONALLY DELETED.</w:t>
      </w:r>
    </w:p>
    <w:p>
      <w:pPr>
        <w:pStyle w:val="Normal"/>
        <w:rPr/>
      </w:pPr>
      <w:r>
        <w:rPr/>
      </w:r>
    </w:p>
    <w:p>
      <w:pPr>
        <w:pStyle w:val="Normal"/>
        <w:jc w:val="both"/>
        <w:rPr/>
      </w:pPr>
      <w:r>
        <w:rPr/>
        <w:t>4.</w:t>
        <w:tab/>
      </w:r>
      <w:r>
        <w:rPr>
          <w:u w:val="single"/>
        </w:rPr>
        <w:t>Fees</w:t>
      </w:r>
      <w:r>
        <w:rPr/>
        <w:t>. During the Term, Enron shall pay to Argus a variable fee (the “</w:t>
      </w:r>
      <w:r>
        <w:rPr>
          <w:u w:val="single"/>
        </w:rPr>
        <w:t>Variable Fee</w:t>
      </w:r>
      <w:r>
        <w:rPr/>
        <w:t>”) on the thirtieth (30</w:t>
      </w:r>
      <w:r>
        <w:rPr>
          <w:vertAlign w:val="superscript"/>
        </w:rPr>
        <w:t>th</w:t>
      </w:r>
      <w:r>
        <w:rPr/>
        <w:t>)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Notwithstanding the foregoing, the Variable Fee shall be no less than $5,000 each full quarter.</w:t>
      </w:r>
    </w:p>
    <w:p>
      <w:pPr>
        <w:pStyle w:val="Normal"/>
        <w:jc w:val="both"/>
        <w:rPr/>
      </w:pPr>
      <w:r>
        <w:rPr/>
      </w:r>
    </w:p>
    <w:p>
      <w:pPr>
        <w:pStyle w:val="Normal"/>
        <w:jc w:val="both"/>
        <w:rPr/>
      </w:pPr>
      <w:r>
        <w:rPr/>
        <w:t>5.</w:t>
        <w:tab/>
        <w:t>INTENTIONALLY DELETED.</w:t>
      </w:r>
    </w:p>
    <w:p>
      <w:pPr>
        <w:pStyle w:val="Normal"/>
        <w:jc w:val="both"/>
        <w:rPr/>
      </w:pPr>
      <w:r>
        <w:rPr/>
      </w:r>
    </w:p>
    <w:p>
      <w:pPr>
        <w:pStyle w:val="Normal"/>
        <w:rPr/>
      </w:pPr>
      <w:r>
        <w:rPr/>
        <w:t>6.</w:t>
        <w:tab/>
      </w:r>
      <w:r>
        <w:rPr>
          <w:u w:val="single"/>
        </w:rPr>
        <w:t>Reporting</w:t>
      </w:r>
      <w:r>
        <w:rPr/>
        <w:t>.</w:t>
      </w:r>
    </w:p>
    <w:p>
      <w:pPr>
        <w:pStyle w:val="Normal"/>
        <w:rPr/>
      </w:pPr>
      <w:r>
        <w:rPr/>
      </w:r>
    </w:p>
    <w:p>
      <w:pPr>
        <w:pStyle w:val="BodyTextIndent"/>
        <w:jc w:val="both"/>
        <w:rPr/>
      </w:pPr>
      <w:r>
        <w:rPr/>
        <w:t>(a)</w:t>
        <w:tab/>
        <w:t>Within ten (10) days after the Commencement Date, Argus shall submit to Enron a statement containing the number of Subscribers as of the Commencement Date, such statement to be certified by an authorized officer of Argus; and</w:t>
      </w:r>
    </w:p>
    <w:p>
      <w:pPr>
        <w:pStyle w:val="Normal"/>
        <w:ind w:start="720" w:end="0"/>
        <w:rPr/>
      </w:pPr>
      <w:r>
        <w:rPr/>
      </w:r>
    </w:p>
    <w:p>
      <w:pPr>
        <w:pStyle w:val="BodyTextIndent"/>
        <w:jc w:val="both"/>
        <w:rPr/>
      </w:pPr>
      <w:r>
        <w:rPr/>
        <w:t>(b)</w:t>
        <w:tab/>
        <w:t>Within ten (10) days after the expiration of each quarter commencing on the expiration of the first quarter after the Commencement Date, Enron shall submit to Argus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jc w:val="both"/>
        <w:rPr/>
      </w:pPr>
      <w:r>
        <w:rPr/>
      </w:r>
    </w:p>
    <w:p>
      <w:pPr>
        <w:pStyle w:val="BodyTextIndent2"/>
        <w:rPr/>
      </w:pPr>
      <w:r>
        <w:rPr/>
        <w:t>(c)</w:t>
        <w:tab/>
        <w:t>Twice during the Term, Argus’ independent auditor, provided that such auditor executes a confidentiality agreement in form and substance satisfactory to Enron, at Argus’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independent auditor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ind w:start="720" w:end="0"/>
        <w:jc w:val="both"/>
        <w:rPr/>
      </w:pPr>
      <w:r>
        <w:rPr/>
      </w:r>
    </w:p>
    <w:p>
      <w:pPr>
        <w:pStyle w:val="Normal"/>
        <w:jc w:val="both"/>
        <w:rPr/>
      </w:pPr>
      <w:r>
        <w:rPr/>
        <w:t>7.</w:t>
        <w:tab/>
      </w:r>
      <w:r>
        <w:rPr>
          <w:u w:val="single"/>
        </w:rPr>
        <w:t>Attrition Rate</w:t>
      </w:r>
      <w:r>
        <w:rPr/>
        <w:t>.</w:t>
        <w:tab/>
        <w:t xml:space="preserve">  After the expiration of the Term Argus may request an audit of the Attrition Rate by an independent auditor mutually agreed to by the parties (the “</w:t>
      </w:r>
      <w:r>
        <w:rPr>
          <w:u w:val="single"/>
        </w:rPr>
        <w:t>Attrition Rate Auditor”)</w:t>
      </w:r>
      <w:r>
        <w:rPr/>
        <w:t>.  Such request must be made prior to the thirtieth (30</w:t>
      </w:r>
      <w:r>
        <w:rPr>
          <w:vertAlign w:val="superscript"/>
        </w:rPr>
        <w:t>th</w:t>
      </w:r>
      <w:r>
        <w:rPr/>
        <w:t>) day after the expiration of the Term.  In the event Argus requests such an audit, Argus shall provide Enron with ten (10) days prior written notice of such audit.  Within ten (10) days after such request by Argus, (i) Argus shall submit a list to the Attrition Rate Auditor of (A) the identities of the Subscribers as of the Commencement Date, (B) the identities of the Subscribers who have cancelled or otherwise not renewed their subscription to a Publication since the Commencement Date, (C) the date on which such Subscriber cancelled or failed to renew its subscription and (D) documentation verifying the information referenced in items (A), (B) and (C) above, and (ii) Enron shall submit a list to the Attrition Rate Auditor of (X) the identities of all Users and (Y) documentation verifying the information referenced in item (X) above.  The Attrition Rate Auditor shall determine the Attrition Rate from such information and submit its findings to both parties.  Argus shall be responsible for the cost and expense of any audit except in the event the Attrition Rate exceeds ten percent (10%), in which case Enron shall be responsible for fifty percent (50%) of such cost and expense.  In the event an audit is not requested by Argus pursuant to this Section 7, the Attrition Rate shall be deemed to be zero (0).  The Attrition Rate shall never increase except by determination of the Attrition Rate Auditor.  In the event the Attrition Rate is deemed to have exceeded ten percent (10%) at any time during the Term, the Variable Fee shall be recalculated for each applicable quarter and any additional fees based on the Attrition Rate shall be paid by Enron to Argus within thirty (30) days after receipt by Enron of an invoice for same.  During the Term, Enron shall make the payments due pursuant to Section 4 based on an Attrition Rate of 0.</w:t>
      </w:r>
    </w:p>
    <w:p>
      <w:pPr>
        <w:pStyle w:val="Normal"/>
        <w:jc w:val="both"/>
        <w:rPr/>
      </w:pPr>
      <w:r>
        <w:rPr/>
      </w:r>
    </w:p>
    <w:p>
      <w:pPr>
        <w:pStyle w:val="Normal"/>
        <w:jc w:val="both"/>
        <w:rPr/>
      </w:pPr>
      <w:r>
        <w:rPr/>
        <w:t>8.</w:t>
        <w:tab/>
      </w:r>
      <w:r>
        <w:rPr>
          <w:u w:val="single"/>
        </w:rPr>
        <w:t>License</w:t>
      </w:r>
      <w:r>
        <w:rPr/>
        <w:t>.  Any and all original materials submitted by Argus to Enron in connection with the Services, including without limitation, ideas, concepts, processes, techniques, know-how, formulae, inventions, software programs, data, and any sequence or structural or organizational aspects of the Services, which are of general utility, shall remain the exclusive property of Argus.  Argus hereby licenses the Argus Authorized Trademarks so that Enron may quote Argus as the source of the Publications provided that the use of the Argus Authorized Trademarks shall not create or provide, and such use shall not indicate that Enron has, any right, title or interest in the Argus Authorized Trademarks other than the authorizations provided in this Agreement.</w:t>
      </w:r>
    </w:p>
    <w:p>
      <w:pPr>
        <w:pStyle w:val="Normal"/>
        <w:jc w:val="both"/>
        <w:rPr/>
      </w:pPr>
      <w:r>
        <w:rPr/>
      </w:r>
    </w:p>
    <w:p>
      <w:pPr>
        <w:pStyle w:val="Normal"/>
        <w:jc w:val="both"/>
        <w:rPr/>
      </w:pPr>
      <w:r>
        <w:rPr/>
        <w:t>9.</w:t>
        <w:tab/>
      </w: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rPr/>
      </w:pPr>
      <w:r>
        <w:rPr/>
      </w:r>
    </w:p>
    <w:p>
      <w:pPr>
        <w:pStyle w:val="Normal"/>
        <w:jc w:val="both"/>
        <w:rPr/>
      </w:pPr>
      <w:r>
        <w:rPr/>
        <w:t>10.</w:t>
        <w:tab/>
      </w: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w:t>
      </w:r>
    </w:p>
    <w:p>
      <w:pPr>
        <w:pStyle w:val="Normal"/>
        <w:jc w:val="both"/>
        <w:rPr/>
      </w:pPr>
      <w:r>
        <w:rPr/>
      </w:r>
    </w:p>
    <w:p>
      <w:pPr>
        <w:pStyle w:val="Normal"/>
        <w:rPr/>
      </w:pPr>
      <w:r>
        <w:rPr/>
        <w:t xml:space="preserve">11. </w:t>
        <w:tab/>
      </w:r>
      <w:r>
        <w:rPr>
          <w:u w:val="single"/>
        </w:rPr>
        <w:t>Representations, Warranties and Covenants</w:t>
      </w:r>
      <w:r>
        <w:rPr/>
        <w:t>.</w:t>
      </w:r>
    </w:p>
    <w:p>
      <w:pPr>
        <w:pStyle w:val="Normal"/>
        <w:rPr>
          <w:u w:val="single"/>
        </w:rPr>
      </w:pPr>
      <w:r>
        <w:rPr>
          <w:u w:val="single"/>
        </w:rPr>
      </w:r>
    </w:p>
    <w:p>
      <w:pPr>
        <w:pStyle w:val="BodyTextIndent2"/>
        <w:rPr/>
      </w:pPr>
      <w:r>
        <w:rPr/>
        <w:t>(a)</w:t>
        <w:tab/>
        <w:t>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Publications or Argus Authorized Trademarks shall infringe upon the copyrights, trademarks, trade secrets, patents, intellectual property rights or any other proprietary rights of any other person or entity, (vii) the accuracy of the Publications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w:t>
      </w:r>
    </w:p>
    <w:p>
      <w:pPr>
        <w:pStyle w:val="BodyTextIndent2"/>
        <w:rPr/>
      </w:pPr>
      <w:r>
        <w:rPr/>
      </w:r>
    </w:p>
    <w:p>
      <w:pPr>
        <w:pStyle w:val="BodyTextIndent2"/>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w:t>
      </w:r>
    </w:p>
    <w:p>
      <w:pPr>
        <w:pStyle w:val="Normal"/>
        <w:ind w:start="720" w:end="0"/>
        <w:jc w:val="both"/>
        <w:rPr/>
      </w:pPr>
      <w:r>
        <w:rPr/>
      </w:r>
    </w:p>
    <w:p>
      <w:pPr>
        <w:pStyle w:val="Normal"/>
        <w:rPr/>
      </w:pPr>
      <w:r>
        <w:rPr/>
        <w:t>12.</w:t>
        <w:tab/>
      </w:r>
      <w:r>
        <w:rPr>
          <w:u w:val="single"/>
        </w:rPr>
        <w:t>Indemnification</w:t>
      </w:r>
      <w:r>
        <w:rPr/>
        <w:t xml:space="preserve">. </w:t>
      </w:r>
    </w:p>
    <w:p>
      <w:pPr>
        <w:pStyle w:val="Normal"/>
        <w:ind w:start="360" w:end="0"/>
        <w:jc w:val="both"/>
        <w:rPr/>
      </w:pPr>
      <w:r>
        <w:rPr/>
      </w:r>
    </w:p>
    <w:p>
      <w:pPr>
        <w:pStyle w:val="BodyTextIndent2"/>
        <w:rPr/>
      </w:pPr>
      <w:r>
        <w:rPr/>
        <w:t>(a)</w:t>
        <w:tab/>
        <w:t>Argus agrees to indemnify and hold harmless Enron and its affiliates, officers, directors, employees, representatives, agents and successors and assigns from and against any and all claims and losses (including, but not limited to, attorneys’ fees, expect witness fees and expenses) arising from or in connection with a breach of, or failure to perform, any of its representations, warranties and covenants set forth in this Agreement or in the performance of any of its duties, responsibilities or services under this Agreement.</w:t>
      </w:r>
    </w:p>
    <w:p>
      <w:pPr>
        <w:pStyle w:val="Normal"/>
        <w:ind w:start="720" w:end="0"/>
        <w:jc w:val="both"/>
        <w:rPr/>
      </w:pPr>
      <w:r>
        <w:rPr/>
      </w:r>
    </w:p>
    <w:p>
      <w:pPr>
        <w:pStyle w:val="BodyTextIndent"/>
        <w:jc w:val="both"/>
        <w:rPr/>
      </w:pPr>
      <w:r>
        <w:rPr/>
        <w:t>(b)</w:t>
        <w:tab/>
        <w:t>Enron agrees to indemnify and hold harmless Argus and its officers, directors, employees, representatives, agents and successors and assigns from and against any and all claims and losses (including but not limited to, attorneys’ fees, expert witness fees and expenses) arising from or in connection with a breach of or failure to perform, any of its representations, warranties and covenants set forth in this Agreement or in the performance of any of its duties, responsibilities or services under this Agreement.</w:t>
      </w:r>
    </w:p>
    <w:p>
      <w:pPr>
        <w:pStyle w:val="Normal"/>
        <w:jc w:val="both"/>
        <w:rPr/>
      </w:pPr>
      <w:r>
        <w:rPr/>
      </w:r>
    </w:p>
    <w:p>
      <w:pPr>
        <w:pStyle w:val="Normal"/>
        <w:jc w:val="both"/>
        <w:rPr/>
      </w:pPr>
      <w:r>
        <w:rPr/>
        <w:t>13.</w:t>
        <w:tab/>
      </w:r>
      <w:r>
        <w:rPr>
          <w:u w:val="single"/>
        </w:rPr>
        <w:t>Insurance</w:t>
      </w:r>
      <w:r>
        <w:rPr/>
        <w:t>.  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jc w:val="both"/>
        <w:rPr/>
      </w:pPr>
      <w:r>
        <w:rPr/>
      </w:r>
    </w:p>
    <w:p>
      <w:pPr>
        <w:pStyle w:val="Normal"/>
        <w:jc w:val="both"/>
        <w:rPr/>
      </w:pPr>
      <w:r>
        <w:rPr/>
        <w:t>14.</w:t>
        <w:tab/>
      </w:r>
      <w:r>
        <w:rPr>
          <w:u w:val="single"/>
        </w:rPr>
        <w:t>Termination for Breach</w:t>
      </w:r>
      <w:r>
        <w:rPr/>
        <w:t>.</w:t>
      </w:r>
    </w:p>
    <w:p>
      <w:pPr>
        <w:pStyle w:val="Normal"/>
        <w:jc w:val="both"/>
        <w:rPr/>
      </w:pPr>
      <w:r>
        <w:rPr/>
      </w:r>
    </w:p>
    <w:p>
      <w:pPr>
        <w:pStyle w:val="BodyTextIndent2"/>
        <w:rPr/>
      </w:pPr>
      <w:r>
        <w:rPr/>
        <w:t>(a)</w:t>
        <w:tab/>
        <w:t>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w:t>
      </w:r>
    </w:p>
    <w:p>
      <w:pPr>
        <w:pStyle w:val="Normal"/>
        <w:ind w:start="720" w:end="0"/>
        <w:jc w:val="both"/>
        <w:rPr/>
      </w:pPr>
      <w:r>
        <w:rPr/>
      </w:r>
    </w:p>
    <w:p>
      <w:pPr>
        <w:pStyle w:val="Normal"/>
        <w:ind w:start="720" w:end="0"/>
        <w:jc w:val="both"/>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 or ten (10) days in the aggregate during the Term of this Agreement, Enron may terminate this Agreement immediately, in which case Argus shall refund pro rata any of the Subscription Fee paid in advance.</w:t>
      </w:r>
    </w:p>
    <w:p>
      <w:pPr>
        <w:pStyle w:val="Normal"/>
        <w:ind w:start="720" w:end="0"/>
        <w:jc w:val="both"/>
        <w:rPr/>
      </w:pPr>
      <w:r>
        <w:rPr/>
      </w:r>
    </w:p>
    <w:p>
      <w:pPr>
        <w:pStyle w:val="Normal"/>
        <w:jc w:val="both"/>
        <w:rPr/>
      </w:pPr>
      <w:r>
        <w:rPr/>
        <w:t>15.</w:t>
        <w:tab/>
      </w: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15), as follows unless such address is changed by written notice hereunder, and such notice shall be deemed given for purposes of this Agreement on the day that such writing is sent to the intended recipient thereof in accordance with this Section:</w:t>
      </w:r>
    </w:p>
    <w:p>
      <w:pPr>
        <w:pStyle w:val="Normal"/>
        <w:jc w:val="both"/>
        <w:rPr/>
      </w:pPr>
      <w:r>
        <w:rPr/>
      </w:r>
    </w:p>
    <w:p>
      <w:pPr>
        <w:pStyle w:val="Normal"/>
        <w:jc w:val="both"/>
        <w:rPr/>
      </w:pPr>
      <w:r>
        <w:rPr/>
        <w:tab/>
        <w:t>If to Enron:</w:t>
        <w:tab/>
        <w:tab/>
        <w:tab/>
        <w:tab/>
        <w:tab/>
        <w:t>If to Argus:</w:t>
      </w:r>
    </w:p>
    <w:p>
      <w:pPr>
        <w:pStyle w:val="Normal"/>
        <w:jc w:val="both"/>
        <w:rPr/>
      </w:pPr>
      <w:r>
        <w:rPr/>
      </w:r>
    </w:p>
    <w:p>
      <w:pPr>
        <w:pStyle w:val="Normal"/>
        <w:jc w:val="both"/>
        <w:rPr/>
      </w:pPr>
      <w:r>
        <w:rPr/>
        <w:tab/>
        <w:t>Enron Net Works LLC</w:t>
        <w:tab/>
        <w:tab/>
        <w:tab/>
        <w:t xml:space="preserve"> Energy Argus Incorporated</w:t>
      </w:r>
    </w:p>
    <w:p>
      <w:pPr>
        <w:pStyle w:val="Normal"/>
        <w:jc w:val="both"/>
        <w:rPr/>
      </w:pPr>
      <w:r>
        <w:rPr/>
        <w:tab/>
        <w:t>1400 Smith Street</w:t>
        <w:tab/>
        <w:tab/>
        <w:tab/>
        <w:tab/>
        <w:t>129 Washington Street, Suite 400</w:t>
      </w:r>
    </w:p>
    <w:p>
      <w:pPr>
        <w:pStyle w:val="Normal"/>
        <w:jc w:val="both"/>
        <w:rPr/>
      </w:pPr>
      <w:r>
        <w:rPr/>
        <w:tab/>
        <w:t>Houston, Texas 77002</w:t>
        <w:tab/>
        <w:tab/>
        <w:tab/>
        <w:t>Hoboken, New Jersey 07030</w:t>
      </w:r>
    </w:p>
    <w:p>
      <w:pPr>
        <w:pStyle w:val="Normal"/>
        <w:jc w:val="both"/>
        <w:rPr/>
      </w:pPr>
      <w:r>
        <w:rPr/>
        <w:tab/>
        <w:t>Attn:  Brad Richter</w:t>
        <w:tab/>
        <w:tab/>
        <w:tab/>
        <w:tab/>
        <w:t>Attn:  Abudi Zein</w:t>
      </w:r>
    </w:p>
    <w:p>
      <w:pPr>
        <w:pStyle w:val="Normal"/>
        <w:jc w:val="both"/>
        <w:rPr/>
      </w:pPr>
      <w:r>
        <w:rPr/>
        <w:tab/>
        <w:t>Fax:</w:t>
        <w:tab/>
        <w:t>(713) 646-2126</w:t>
        <w:tab/>
        <w:tab/>
        <w:tab/>
        <w:t>Fax: (201) 659-6006</w:t>
      </w:r>
    </w:p>
    <w:p>
      <w:pPr>
        <w:pStyle w:val="Normal"/>
        <w:jc w:val="both"/>
        <w:rPr/>
      </w:pPr>
      <w:r>
        <w:rPr/>
      </w:r>
    </w:p>
    <w:p>
      <w:pPr>
        <w:pStyle w:val="Normal"/>
        <w:jc w:val="both"/>
        <w:rPr/>
      </w:pPr>
      <w:r>
        <w:rPr/>
        <w:t>In the event Argus needs to send Enron notice of any alleged default or breach of this Agreement, Argus shall send notice pursuant to the foregoing to the attention of Managing Director, Information Technology, with a copy to Enron’s Executive Vice President and General Counsel.</w:t>
      </w:r>
    </w:p>
    <w:p>
      <w:pPr>
        <w:pStyle w:val="Normal"/>
        <w:jc w:val="both"/>
        <w:rPr/>
      </w:pPr>
      <w:r>
        <w:rPr/>
      </w:r>
    </w:p>
    <w:p>
      <w:pPr>
        <w:pStyle w:val="Normal"/>
        <w:jc w:val="both"/>
        <w:rPr/>
      </w:pPr>
      <w:r>
        <w:rPr/>
        <w:t>16.</w:t>
        <w:tab/>
      </w:r>
      <w:r>
        <w:rPr>
          <w:u w:val="single"/>
        </w:rPr>
        <w:t>Assignment</w:t>
      </w:r>
      <w:r>
        <w:rPr/>
        <w:t xml:space="preserve">.  Neither party may assign this Agreement without the prior written consent to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jc w:val="both"/>
        <w:rPr/>
      </w:pPr>
      <w:r>
        <w:rPr/>
      </w:r>
    </w:p>
    <w:p>
      <w:pPr>
        <w:pStyle w:val="Normal"/>
        <w:jc w:val="both"/>
        <w:rPr/>
      </w:pPr>
      <w:r>
        <w:rPr/>
        <w:t>17.</w:t>
        <w:tab/>
      </w:r>
      <w:r>
        <w:rPr>
          <w:u w:val="single"/>
        </w:rPr>
        <w:t>Illegal Distribution</w:t>
      </w:r>
      <w:r>
        <w:rPr/>
        <w:t>.  Enron shall use good faith efforts to ensure that the Publications are distributed by Enron only to intended Users and Enron shall notify Argus as soon as reasonably possible upon its actual knowledge of any illegal distribution of the Publications provided that Argus shall have the sole responsibility of initiating and maintaining any action, legal or otherwise in the case of any such illegal distribution.</w:t>
      </w:r>
    </w:p>
    <w:p>
      <w:pPr>
        <w:pStyle w:val="Normal"/>
        <w:jc w:val="both"/>
        <w:rPr/>
      </w:pPr>
      <w:r>
        <w:rPr/>
      </w:r>
    </w:p>
    <w:p>
      <w:pPr>
        <w:pStyle w:val="Normal"/>
        <w:jc w:val="both"/>
        <w:rPr/>
      </w:pPr>
      <w:r>
        <w:rPr/>
        <w:t>18.</w:t>
        <w:tab/>
      </w:r>
      <w:r>
        <w:rPr>
          <w:u w:val="single"/>
        </w:rPr>
        <w:t>Governing Law</w:t>
      </w:r>
      <w:r>
        <w:rPr/>
        <w:t xml:space="preserve">.  This Agreement shall be governed by and construed in accordance with the laws of the State of Texas, the United States, without reference to the choice of law principles thereof. </w:t>
      </w:r>
    </w:p>
    <w:p>
      <w:pPr>
        <w:pStyle w:val="Normal"/>
        <w:jc w:val="both"/>
        <w:rPr/>
      </w:pPr>
      <w:r>
        <w:rPr/>
      </w:r>
    </w:p>
    <w:p>
      <w:pPr>
        <w:pStyle w:val="Normal"/>
        <w:jc w:val="both"/>
        <w:rPr/>
      </w:pPr>
      <w:r>
        <w:rPr/>
        <w:t>19.</w:t>
        <w:tab/>
      </w:r>
      <w:r>
        <w:rPr>
          <w:u w:val="single"/>
        </w:rPr>
        <w:t>Limitations of Liability</w:t>
      </w:r>
      <w:r>
        <w:rPr/>
        <w:t>.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jc w:val="both"/>
        <w:rPr/>
      </w:pPr>
      <w:r>
        <w:rPr/>
      </w:r>
    </w:p>
    <w:p>
      <w:pPr>
        <w:pStyle w:val="Normal"/>
        <w:jc w:val="both"/>
        <w:rPr/>
      </w:pPr>
      <w:r>
        <w:rPr/>
        <w:t>20.</w:t>
        <w:tab/>
      </w: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jc w:val="both"/>
        <w:rPr/>
      </w:pPr>
      <w:r>
        <w:rPr/>
      </w:r>
    </w:p>
    <w:p>
      <w:pPr>
        <w:pStyle w:val="Normal"/>
        <w:jc w:val="both"/>
        <w:rPr/>
      </w:pPr>
      <w:r>
        <w:rPr/>
        <w:t>21.</w:t>
        <w:tab/>
      </w:r>
      <w:r>
        <w:rPr>
          <w:u w:val="single"/>
        </w:rPr>
        <w:t>Counterparts</w:t>
      </w:r>
      <w:r>
        <w:rPr/>
        <w:t>.  This Agreement may be executed simultaneously in counterparts, each of which shall be deemed an original and all of which together shall constitute one and the same instrument.  Transmission by telecopy of an executed counterpart of this Agreement shall be deemed to constitute due and sufficient delivery of such counterpart.</w:t>
      </w:r>
    </w:p>
    <w:p>
      <w:pPr>
        <w:pStyle w:val="Normal"/>
        <w:jc w:val="both"/>
        <w:rPr/>
      </w:pPr>
      <w:r>
        <w:rPr/>
      </w:r>
    </w:p>
    <w:p>
      <w:pPr>
        <w:pStyle w:val="Normal"/>
        <w:jc w:val="both"/>
        <w:rPr/>
      </w:pPr>
      <w:r>
        <w:rPr/>
        <w:t>22.</w:t>
        <w:tab/>
      </w: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jc w:val="both"/>
        <w:rPr/>
      </w:pPr>
      <w:r>
        <w:rPr/>
      </w:r>
    </w:p>
    <w:p>
      <w:pPr>
        <w:pStyle w:val="Normal"/>
        <w:jc w:val="both"/>
        <w:rPr/>
      </w:pPr>
      <w:r>
        <w:rPr/>
        <w:t>23.</w:t>
        <w:tab/>
      </w: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jc w:val="both"/>
        <w:rPr/>
      </w:pPr>
      <w:r>
        <w:rPr/>
      </w:r>
    </w:p>
    <w:p>
      <w:pPr>
        <w:pStyle w:val="Normal"/>
        <w:jc w:val="both"/>
        <w:rPr/>
      </w:pPr>
      <w:r>
        <w:rPr/>
        <w:t>24.</w:t>
        <w:tab/>
      </w: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jc w:val="both"/>
        <w:rPr/>
      </w:pPr>
      <w:r>
        <w:rPr/>
      </w:r>
    </w:p>
    <w:p>
      <w:pPr>
        <w:pStyle w:val="Normal"/>
        <w:jc w:val="both"/>
        <w:rPr/>
      </w:pPr>
      <w:r>
        <w:rPr/>
        <w:t>25.</w:t>
        <w:tab/>
      </w: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jc w:val="both"/>
        <w:rPr/>
      </w:pPr>
      <w:r>
        <w:rPr/>
      </w:r>
    </w:p>
    <w:p>
      <w:pPr>
        <w:pStyle w:val="Normal"/>
        <w:jc w:val="both"/>
        <w:rPr/>
      </w:pPr>
      <w:r>
        <w:rPr/>
        <w:t>26.</w:t>
        <w:tab/>
      </w: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jc w:val="both"/>
        <w:rPr/>
      </w:pPr>
      <w:r>
        <w:rPr/>
      </w:r>
    </w:p>
    <w:p>
      <w:pPr>
        <w:pStyle w:val="Normal"/>
        <w:jc w:val="both"/>
        <w:rPr/>
      </w:pPr>
      <w:r>
        <w:rPr/>
        <w:t>27.</w:t>
        <w:tab/>
      </w: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jc w:val="both"/>
        <w:rPr/>
      </w:pPr>
      <w:r>
        <w:rPr/>
      </w:r>
    </w:p>
    <w:p>
      <w:pPr>
        <w:pStyle w:val="Normal"/>
        <w:jc w:val="both"/>
        <w:rPr/>
      </w:pPr>
      <w:r>
        <w:rPr/>
        <w:t>28.</w:t>
        <w:tab/>
      </w: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 including, but not limited to, that certain Information Services Agreement dated June 1, 2000, between Enron and Fieldston Publications, Inc., which agreement is now owned by Argus as the successor to Fieldston Publications, Inc.</w:t>
      </w:r>
    </w:p>
    <w:p>
      <w:pPr>
        <w:pStyle w:val="Normal"/>
        <w:jc w:val="both"/>
        <w:rPr/>
      </w:pPr>
      <w:r>
        <w:rPr/>
      </w:r>
    </w:p>
    <w:p>
      <w:pPr>
        <w:pStyle w:val="Normal"/>
        <w:jc w:val="both"/>
        <w:rPr/>
      </w:pPr>
      <w:r>
        <w:rPr/>
        <w:t>29.</w:t>
        <w:tab/>
      </w:r>
      <w:r>
        <w:rPr>
          <w:u w:val="single"/>
        </w:rPr>
        <w:t>Arbitration</w:t>
      </w:r>
      <w:r>
        <w:rPr/>
        <w:t>.  Except for any claim arising out of a breach of Section 10, in which case the non-breaching party may apply to a court to enjoin any breach of such Section,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w:t>
      </w:r>
    </w:p>
    <w:p>
      <w:pPr>
        <w:pStyle w:val="Normal"/>
        <w:jc w:val="both"/>
        <w:rPr/>
      </w:pPr>
      <w:r>
        <w:rPr/>
      </w:r>
    </w:p>
    <w:p>
      <w:pPr>
        <w:pStyle w:val="Normal"/>
        <w:jc w:val="both"/>
        <w:rPr/>
      </w:pPr>
      <w:r>
        <w:rPr/>
        <w:t>30.</w:t>
        <w:tab/>
      </w:r>
      <w:r>
        <w:rPr>
          <w:u w:val="single"/>
        </w:rPr>
        <w:t>Access</w:t>
      </w:r>
      <w:r>
        <w:rPr/>
        <w:t>.  Upon written request to Enron by Argus, Enron will provide Argus with temporary access to the Enron Website for the purpose of reviewing the Publications.</w:t>
      </w:r>
    </w:p>
    <w:p>
      <w:pPr>
        <w:pStyle w:val="Normal"/>
        <w:jc w:val="both"/>
        <w:rPr/>
      </w:pPr>
      <w:r>
        <w:rPr/>
      </w:r>
    </w:p>
    <w:p>
      <w:pPr>
        <w:pStyle w:val="Normal"/>
        <w:jc w:val="both"/>
        <w:rPr/>
      </w:pPr>
      <w:r>
        <w:rPr/>
        <w:t>IN WITNESS WHEREOF, the parties hereto have caused this instrument to be duly executed as of the day and year first above written.</w:t>
      </w:r>
    </w:p>
    <w:p>
      <w:pPr>
        <w:pStyle w:val="Normal"/>
        <w:jc w:val="both"/>
        <w:rPr/>
      </w:pPr>
      <w:r>
        <w:rPr/>
      </w:r>
    </w:p>
    <w:p>
      <w:pPr>
        <w:pStyle w:val="Normal"/>
        <w:jc w:val="both"/>
        <w:rPr/>
      </w:pPr>
      <w:r>
        <w:rPr/>
      </w:r>
    </w:p>
    <w:p>
      <w:pPr>
        <w:pStyle w:val="Normal"/>
        <w:jc w:val="both"/>
        <w:rPr/>
      </w:pPr>
      <w:r>
        <w:rPr/>
        <w:t>Enron Net Works LLC</w:t>
        <w:tab/>
        <w:tab/>
        <w:tab/>
        <w:t>Energy Argus Incorporated</w:t>
      </w:r>
    </w:p>
    <w:p>
      <w:pPr>
        <w:pStyle w:val="Normal"/>
        <w:jc w:val="both"/>
        <w:rPr/>
      </w:pPr>
      <w:r>
        <w:rPr/>
      </w:r>
    </w:p>
    <w:p>
      <w:pPr>
        <w:pStyle w:val="Normal"/>
        <w:tabs>
          <w:tab w:val="clear" w:pos="720"/>
          <w:tab w:val="left" w:pos="4320" w:leader="none"/>
        </w:tabs>
        <w:jc w:val="both"/>
        <w:rPr/>
      </w:pPr>
      <w:r>
        <w:rPr/>
        <w:t>By: ____________________________</w:t>
        <w:tab/>
        <w:t>By: ____________________________</w:t>
        <w:tab/>
      </w:r>
    </w:p>
    <w:p>
      <w:pPr>
        <w:pStyle w:val="Normal"/>
        <w:tabs>
          <w:tab w:val="clear" w:pos="720"/>
          <w:tab w:val="left" w:pos="4320" w:leader="none"/>
        </w:tabs>
        <w:jc w:val="both"/>
        <w:rPr/>
      </w:pPr>
      <w:r>
        <w:rPr/>
      </w:r>
    </w:p>
    <w:p>
      <w:pPr>
        <w:pStyle w:val="Normal"/>
        <w:tabs>
          <w:tab w:val="clear" w:pos="720"/>
          <w:tab w:val="left" w:pos="4320" w:leader="none"/>
        </w:tabs>
        <w:jc w:val="both"/>
        <w:rPr/>
      </w:pPr>
      <w:r>
        <w:rPr/>
        <w:t>Name:  _________________________</w:t>
        <w:tab/>
        <w:t>Name:  _________________________</w:t>
      </w:r>
    </w:p>
    <w:p>
      <w:pPr>
        <w:pStyle w:val="Normal"/>
        <w:tabs>
          <w:tab w:val="clear" w:pos="720"/>
          <w:tab w:val="left" w:pos="4320" w:leader="none"/>
        </w:tabs>
        <w:jc w:val="both"/>
        <w:rPr/>
      </w:pPr>
      <w:r>
        <w:rPr/>
      </w:r>
    </w:p>
    <w:p>
      <w:pPr>
        <w:pStyle w:val="Normal"/>
        <w:tabs>
          <w:tab w:val="clear" w:pos="720"/>
          <w:tab w:val="left" w:pos="4320" w:leader="none"/>
        </w:tabs>
        <w:jc w:val="both"/>
        <w:rPr/>
      </w:pPr>
      <w:r>
        <w:rPr/>
        <w:t>Title:  __________________________</w:t>
        <w:tab/>
        <w:t>Title:  __________________________</w:t>
      </w:r>
    </w:p>
    <w:p>
      <w:pPr>
        <w:pStyle w:val="Normal"/>
        <w:jc w:val="both"/>
        <w:rPr/>
      </w:pPr>
      <w:r>
        <w:rPr/>
      </w:r>
    </w:p>
    <w:p>
      <w:pPr>
        <w:pStyle w:val="Normal"/>
        <w:tabs>
          <w:tab w:val="clear" w:pos="720"/>
          <w:tab w:val="left" w:pos="4320" w:leader="none"/>
        </w:tabs>
        <w:jc w:val="both"/>
        <w:rPr/>
      </w:pPr>
      <w:r>
        <w:rPr/>
      </w:r>
    </w:p>
    <w:p>
      <w:pPr>
        <w:pStyle w:val="Normal"/>
        <w:jc w:val="both"/>
        <w:rPr/>
      </w:pPr>
      <w:r>
        <w:rPr/>
      </w:r>
    </w:p>
    <w:p>
      <w:pPr>
        <w:pStyle w:val="Normal"/>
        <w:jc w:val="both"/>
        <w:rPr/>
      </w:pPr>
      <w:r>
        <w:rPr/>
      </w:r>
      <w:r>
        <w:br w:type="page"/>
      </w:r>
    </w:p>
    <w:p>
      <w:pPr>
        <w:pStyle w:val="Normal"/>
        <w:jc w:val="both"/>
        <w:rPr/>
      </w:pPr>
      <w:r>
        <w:rPr/>
      </w:r>
    </w:p>
    <w:p>
      <w:pPr>
        <w:pStyle w:val="Normal"/>
        <w:jc w:val="both"/>
        <w:rPr/>
      </w:pPr>
      <w:r>
        <w:rPr/>
      </w:r>
    </w:p>
    <w:p>
      <w:pPr>
        <w:pStyle w:val="Normal"/>
        <w:tabs>
          <w:tab w:val="clear" w:pos="720"/>
          <w:tab w:val="right" w:pos="3600" w:leader="none"/>
        </w:tabs>
        <w:jc w:val="center"/>
        <w:rPr>
          <w:b/>
          <w:bCs/>
        </w:rPr>
      </w:pPr>
      <w:r>
        <w:rPr>
          <w:b/>
          <w:bCs/>
        </w:rPr>
        <w:t>SCHEDULE I</w:t>
      </w:r>
    </w:p>
    <w:p>
      <w:pPr>
        <w:pStyle w:val="Normal"/>
        <w:tabs>
          <w:tab w:val="clear" w:pos="720"/>
          <w:tab w:val="right" w:pos="3600" w:leader="none"/>
        </w:tabs>
        <w:jc w:val="center"/>
        <w:rPr>
          <w:b/>
          <w:bCs/>
        </w:rPr>
      </w:pPr>
      <w:r>
        <w:rPr>
          <w:b/>
          <w:bCs/>
        </w:rPr>
      </w:r>
    </w:p>
    <w:p>
      <w:pPr>
        <w:pStyle w:val="BodyText"/>
        <w:rPr/>
      </w:pPr>
      <w:r>
        <w:rPr/>
        <w:t>The Variable Fee shall be determined each quarter in accordance with the tables set forth below.  All fees in the tables have been annualized, therefore, to determine a quarterly fee, such figures shall be divided by four.</w:t>
      </w:r>
    </w:p>
    <w:p>
      <w:pPr>
        <w:pStyle w:val="Normal"/>
        <w:tabs>
          <w:tab w:val="clear" w:pos="720"/>
          <w:tab w:val="right" w:pos="3600" w:leader="none"/>
        </w:tabs>
        <w:rPr/>
      </w:pPr>
      <w:r>
        <w:rPr/>
      </w:r>
    </w:p>
    <w:p>
      <w:pPr>
        <w:pStyle w:val="Normal"/>
        <w:tabs>
          <w:tab w:val="clear" w:pos="720"/>
          <w:tab w:val="right" w:pos="3600" w:leader="none"/>
        </w:tabs>
        <w:rPr/>
      </w:pPr>
      <w:r>
        <w:rPr/>
        <w:t>In the event of an Attrition Rate less than or equal to 10%:</w:t>
      </w:r>
    </w:p>
    <w:p>
      <w:pPr>
        <w:pStyle w:val="Normal"/>
        <w:tabs>
          <w:tab w:val="clear" w:pos="720"/>
          <w:tab w:val="right" w:pos="3600" w:leader="none"/>
        </w:tabs>
        <w:rPr/>
      </w:pPr>
      <w:r>
        <w:rPr/>
      </w:r>
    </w:p>
    <w:tbl>
      <w:tblPr>
        <w:tblW w:w="9576" w:type="dxa"/>
        <w:jc w:val="center"/>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PUBLICATION</w:t>
            </w:r>
          </w:p>
        </w:tc>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VARIABLE FEE PER USER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Air Daily (“Air”)</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$523</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 xml:space="preserve">Coal Daily (“Coal”) User </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$523</w:t>
            </w:r>
          </w:p>
        </w:tc>
      </w:tr>
    </w:tbl>
    <w:p>
      <w:pPr>
        <w:pStyle w:val="Normal"/>
        <w:jc w:val="both"/>
        <w:rPr/>
      </w:pPr>
      <w:r>
        <w:rPr/>
      </w:r>
    </w:p>
    <w:p>
      <w:pPr>
        <w:pStyle w:val="Normal"/>
        <w:jc w:val="both"/>
        <w:rPr/>
      </w:pPr>
      <w:r>
        <w:rPr/>
        <w:t>In the event of an Attrition Rate greater than 10% but less than or equal to 20%:</w:t>
      </w:r>
    </w:p>
    <w:p>
      <w:pPr>
        <w:pStyle w:val="Normal"/>
        <w:jc w:val="both"/>
        <w:rPr/>
      </w:pPr>
      <w:r>
        <w:rPr/>
      </w:r>
    </w:p>
    <w:tbl>
      <w:tblPr>
        <w:tblW w:w="9576" w:type="dxa"/>
        <w:jc w:val="center"/>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PUBLICATION</w:t>
            </w:r>
          </w:p>
        </w:tc>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VARIABLE FEE PER USER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 xml:space="preserve">Air </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$598</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Coal</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$598</w:t>
            </w:r>
          </w:p>
        </w:tc>
      </w:tr>
    </w:tbl>
    <w:p>
      <w:pPr>
        <w:pStyle w:val="Normal"/>
        <w:jc w:val="both"/>
        <w:rPr/>
      </w:pPr>
      <w:r>
        <w:rPr/>
      </w:r>
    </w:p>
    <w:p>
      <w:pPr>
        <w:pStyle w:val="Normal"/>
        <w:jc w:val="both"/>
        <w:rPr/>
      </w:pPr>
      <w:r>
        <w:rPr/>
        <w:t>In the event of an Attrition Rate greater than 20% but less than or equal to 30%:</w:t>
      </w:r>
    </w:p>
    <w:p>
      <w:pPr>
        <w:pStyle w:val="Normal"/>
        <w:jc w:val="both"/>
        <w:rPr/>
      </w:pPr>
      <w:r>
        <w:rPr/>
      </w:r>
    </w:p>
    <w:tbl>
      <w:tblPr>
        <w:tblW w:w="9576" w:type="dxa"/>
        <w:jc w:val="center"/>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PUBLICATION</w:t>
            </w:r>
          </w:p>
        </w:tc>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VARIABLE FEE PER USER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 xml:space="preserve">Air </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$672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Coal</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$672</w:t>
            </w:r>
          </w:p>
        </w:tc>
      </w:tr>
    </w:tbl>
    <w:p>
      <w:pPr>
        <w:pStyle w:val="Normal"/>
        <w:jc w:val="both"/>
        <w:rPr/>
      </w:pPr>
      <w:r>
        <w:rPr/>
      </w:r>
    </w:p>
    <w:p>
      <w:pPr>
        <w:pStyle w:val="Normal"/>
        <w:jc w:val="both"/>
        <w:rPr/>
      </w:pPr>
      <w:r>
        <w:rPr/>
        <w:t>In the event of an Attrition Rate greater than 30%:</w:t>
      </w:r>
    </w:p>
    <w:p>
      <w:pPr>
        <w:pStyle w:val="Normal"/>
        <w:jc w:val="both"/>
        <w:rPr/>
      </w:pPr>
      <w:r>
        <w:rPr/>
      </w:r>
    </w:p>
    <w:tbl>
      <w:tblPr>
        <w:tblW w:w="9576" w:type="dxa"/>
        <w:jc w:val="center"/>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PUBLICATION</w:t>
            </w:r>
          </w:p>
        </w:tc>
        <w:tc>
          <w:tcPr>
            <w:tcW w:w="4788" w:type="dxa"/>
            <w:tcBorders>
              <w:top w:val="single" w:sz="4" w:space="0" w:color="000000"/>
              <w:start w:val="single" w:sz="4" w:space="0" w:color="000000"/>
              <w:bottom w:val="single" w:sz="4" w:space="0" w:color="000000"/>
              <w:end w:val="single" w:sz="4" w:space="0" w:color="000000"/>
            </w:tcBorders>
            <w:shd w:fill="A6A6A6" w:val="clear"/>
            <w:vAlign w:val="center"/>
          </w:tcPr>
          <w:p>
            <w:pPr>
              <w:pStyle w:val="Normal"/>
              <w:jc w:val="center"/>
              <w:rPr>
                <w:b/>
                <w:bCs/>
              </w:rPr>
            </w:pPr>
            <w:r>
              <w:rPr>
                <w:b/>
                <w:bCs/>
              </w:rPr>
              <w:t>VARIABLE FEE PER USER</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b/>
                <w:bCs/>
              </w:rPr>
            </w:pPr>
            <w:r>
              <w:rPr>
                <w:b/>
                <w:bCs/>
              </w:rPr>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snapToGrid w:val="false"/>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Air</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$747</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rPr/>
            </w:pPr>
            <w:r>
              <w:rPr/>
              <w:t>Coal</w:t>
            </w:r>
          </w:p>
        </w:tc>
        <w:tc>
          <w:tcPr>
            <w:tcW w:w="47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3600" w:leader="none"/>
              </w:tabs>
              <w:jc w:val="center"/>
              <w:rPr/>
            </w:pPr>
            <w:r>
              <w:rPr/>
              <w:t>$747</w:t>
            </w:r>
          </w:p>
        </w:tc>
      </w:tr>
    </w:tbl>
    <w:p>
      <w:pPr>
        <w:pStyle w:val="Normal"/>
        <w:jc w:val="both"/>
        <w:rPr/>
      </w:pPr>
      <w:r>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/mnt/main-storage/datasets/enron-docs/doc/FIELDSTON_ARGUS_ISA__finaldraft11_06_01_.doc</w:t>
    </w:r>
    <w:r>
      <w:rPr>
        <w:sz w:val="12"/>
      </w:rPr>
      <w:fldChar w:fldCharType="end"/>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3600" w:leader="none"/>
      </w:tabs>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tabs>
        <w:tab w:val="clear" w:pos="720"/>
        <w:tab w:val="right" w:pos="360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2001-11-06T13:17:00Z</dcterms:created>
  <dc:creator>protmp4</dc:creator>
  <dc:description/>
  <dc:language>en-CA</dc:language>
  <cp:lastModifiedBy>mgreenbe</cp:lastModifiedBy>
  <cp:lastPrinted>2001-10-25T16:24:00Z</cp:lastPrinted>
  <dcterms:modified xsi:type="dcterms:W3CDTF">2001-11-06T13:21:00Z</dcterms:modified>
  <cp:revision>3</cp:revision>
  <dc:subject/>
  <dc:title>INFORMATION SERVICES AGREEMENT</dc:title>
</cp:coreProperties>
</file>