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INFORMATION SERVICES AGREEMENT</w:t>
      </w:r>
    </w:p>
    <w:p>
      <w:pPr>
        <w:pStyle w:val="Normal"/>
        <w:jc w:val="both"/>
        <w:rPr>
          <w:b/>
          <w:bCs/>
          <w:u w:val="single"/>
        </w:rPr>
      </w:pPr>
      <w:r>
        <w:rPr>
          <w:b/>
          <w:bCs/>
          <w:u w:val="single"/>
        </w:rPr>
      </w:r>
    </w:p>
    <w:p>
      <w:pPr>
        <w:pStyle w:val="Normal"/>
        <w:ind w:firstLine="720" w:end="0"/>
        <w:jc w:val="both"/>
        <w:rPr/>
      </w:pPr>
      <w:r>
        <w:rPr/>
        <w:t>This Information Services Agreement (this “</w:t>
      </w:r>
      <w:r>
        <w:rPr>
          <w:u w:val="single"/>
        </w:rPr>
        <w:t>Agreement</w:t>
      </w:r>
      <w:r>
        <w:rPr/>
        <w:t>”) is made and entered into as of the __ day of November, 2001, but to be effective as of the Commencement Date, between Enron Net Works LLC, a Delaware limited liability company, with offices at 1400 Smith Street, Houston, Texas 77002 (“</w:t>
      </w:r>
      <w:r>
        <w:rPr>
          <w:u w:val="single"/>
        </w:rPr>
        <w:t>Enron</w:t>
      </w:r>
      <w:r>
        <w:rPr/>
        <w:t>”) and Energy Argus Incorporated, a Delaware corporation with offices at 129 Washington Street, Suite 201, Hoboken, New Jersey 07030 (“</w:t>
      </w:r>
      <w:r>
        <w:rPr>
          <w:u w:val="single"/>
        </w:rPr>
        <w:t>Argus</w:t>
      </w:r>
      <w:r>
        <w:rPr/>
        <w:t>”).</w:t>
      </w:r>
    </w:p>
    <w:p>
      <w:pPr>
        <w:pStyle w:val="Normal"/>
        <w:ind w:firstLine="720" w:end="0"/>
        <w:jc w:val="both"/>
        <w:rPr/>
      </w:pPr>
      <w:r>
        <w:rPr/>
      </w:r>
    </w:p>
    <w:p>
      <w:pPr>
        <w:pStyle w:val="Normal"/>
        <w:ind w:firstLine="720" w:end="0"/>
        <w:jc w:val="both"/>
        <w:rPr/>
      </w:pPr>
      <w:r>
        <w:rPr/>
        <w:t>WHEREAS, Enron is the owner and operator of the Enron Website (as defined below);</w:t>
      </w:r>
    </w:p>
    <w:p>
      <w:pPr>
        <w:pStyle w:val="Normal"/>
        <w:ind w:firstLine="720" w:end="0"/>
        <w:jc w:val="both"/>
        <w:rPr/>
      </w:pPr>
      <w:r>
        <w:rPr/>
      </w:r>
    </w:p>
    <w:p>
      <w:pPr>
        <w:pStyle w:val="Normal"/>
        <w:ind w:firstLine="720" w:end="0"/>
        <w:jc w:val="both"/>
        <w:rPr/>
      </w:pPr>
      <w:r>
        <w:rPr/>
        <w:t>WHEREAS, Argus publishes, acquires and compiles certain information associated with air emissions (primarily from the U.S. electric utility industry) and U.S. and European steam coal markets;</w:t>
      </w:r>
    </w:p>
    <w:p>
      <w:pPr>
        <w:pStyle w:val="Normal"/>
        <w:ind w:firstLine="720" w:end="0"/>
        <w:jc w:val="both"/>
        <w:rPr/>
      </w:pPr>
      <w:r>
        <w:rPr/>
      </w:r>
    </w:p>
    <w:p>
      <w:pPr>
        <w:pStyle w:val="Normal"/>
        <w:ind w:firstLine="720" w:end="0"/>
        <w:jc w:val="both"/>
        <w:rPr/>
      </w:pPr>
      <w:r>
        <w:rPr/>
        <w:t>WHEREAS, Enron desires that Argus provide Enron with certain daily reports in PDF Format or other agreed upon format so that Enron may post such reports on the Enron Website and Argus has agreed to provide Enron with such reports; and</w:t>
      </w:r>
    </w:p>
    <w:p>
      <w:pPr>
        <w:pStyle w:val="Normal"/>
        <w:ind w:firstLine="720" w:end="0"/>
        <w:jc w:val="both"/>
        <w:rPr/>
      </w:pPr>
      <w:r>
        <w:rPr/>
      </w:r>
    </w:p>
    <w:p>
      <w:pPr>
        <w:pStyle w:val="Normal"/>
        <w:ind w:firstLine="720" w:end="0"/>
        <w:jc w:val="both"/>
        <w:rPr/>
      </w:pPr>
      <w:r>
        <w:rPr/>
        <w:t>WHEREAS, the parties wish to enter into this Agreement subject to the terms and conditions contained herein.</w:t>
      </w:r>
    </w:p>
    <w:p>
      <w:pPr>
        <w:pStyle w:val="Normal"/>
        <w:ind w:firstLine="720" w:end="0"/>
        <w:jc w:val="both"/>
        <w:rPr/>
      </w:pPr>
      <w:r>
        <w:rPr/>
      </w:r>
    </w:p>
    <w:p>
      <w:pPr>
        <w:pStyle w:val="Normal"/>
        <w:ind w:firstLine="720" w:end="0"/>
        <w:jc w:val="both"/>
        <w:rPr/>
      </w:pPr>
      <w:r>
        <w:rPr/>
        <w:t>NOW, THEREFORE, in consideration of the mutual promises contained herein, the parties agree as follows:</w:t>
      </w:r>
    </w:p>
    <w:p>
      <w:pPr>
        <w:pStyle w:val="Normal"/>
        <w:ind w:firstLine="720" w:end="0"/>
        <w:jc w:val="both"/>
        <w:rPr/>
      </w:pPr>
      <w:r>
        <w:rPr/>
      </w:r>
    </w:p>
    <w:p>
      <w:pPr>
        <w:pStyle w:val="Normal"/>
        <w:jc w:val="both"/>
        <w:rPr/>
      </w:pPr>
      <w:r>
        <w:rPr/>
        <w:t>1.</w:t>
        <w:tab/>
      </w:r>
      <w:r>
        <w:rPr>
          <w:u w:val="single"/>
        </w:rPr>
        <w:t>Definitions</w:t>
      </w:r>
      <w:r>
        <w:rPr/>
        <w:t>.  The following capitalized terms when used in this Agreement shall have the following meanings:</w:t>
      </w:r>
    </w:p>
    <w:p>
      <w:pPr>
        <w:pStyle w:val="Normal"/>
        <w:jc w:val="both"/>
        <w:rPr/>
      </w:pPr>
      <w:r>
        <w:rPr/>
      </w:r>
    </w:p>
    <w:p>
      <w:pPr>
        <w:pStyle w:val="Normal"/>
        <w:ind w:start="720" w:end="0"/>
        <w:jc w:val="both"/>
        <w:rPr/>
      </w:pPr>
      <w:r>
        <w:rPr/>
        <w:t>“</w:t>
      </w:r>
      <w:r>
        <w:rPr>
          <w:u w:val="single"/>
        </w:rPr>
        <w:t>Argus Authorized Trademarks</w:t>
      </w:r>
      <w:r>
        <w:rPr/>
        <w:t>” shall mean the Argus trademarks, trade names, copyrights, design marks and service marks which Argus has authorized Enron in writing to use and display on the Enron Website as further described herein.</w:t>
      </w:r>
    </w:p>
    <w:p>
      <w:pPr>
        <w:pStyle w:val="Normal"/>
        <w:ind w:start="720" w:end="0"/>
        <w:jc w:val="both"/>
        <w:rPr/>
      </w:pPr>
      <w:r>
        <w:rPr/>
      </w:r>
    </w:p>
    <w:p>
      <w:pPr>
        <w:pStyle w:val="Normal"/>
        <w:ind w:start="720" w:end="0"/>
        <w:jc w:val="both"/>
        <w:rPr/>
      </w:pPr>
      <w:r>
        <w:rPr/>
        <w:t>“</w:t>
      </w:r>
      <w:r>
        <w:rPr>
          <w:u w:val="single"/>
        </w:rPr>
        <w:t>Attrition Rate</w:t>
      </w:r>
      <w:r>
        <w:rPr/>
        <w:t>” shall mean a ratio, the numerator of which is the number of Subscribers as of the Commencement Date who are also Users during the Term and who cancel or otherwise do not continue a subscription to the Publications during the Term and the denominator of which is the total number of Subscribers as of the Commencement Date who are also Users during the Term.</w:t>
      </w:r>
    </w:p>
    <w:p>
      <w:pPr>
        <w:pStyle w:val="Normal"/>
        <w:ind w:start="720" w:end="0"/>
        <w:jc w:val="both"/>
        <w:rPr/>
      </w:pPr>
      <w:r>
        <w:rPr/>
      </w:r>
    </w:p>
    <w:p>
      <w:pPr>
        <w:pStyle w:val="Normal"/>
        <w:ind w:start="720" w:end="0"/>
        <w:jc w:val="both"/>
        <w:rPr/>
      </w:pPr>
      <w:r>
        <w:rPr/>
        <w:t>“</w:t>
      </w:r>
      <w:r>
        <w:rPr>
          <w:u w:val="single"/>
        </w:rPr>
        <w:t>Business Day</w:t>
      </w:r>
      <w:r>
        <w:rPr/>
        <w:t>” shall mean day on which commercial banks are open for business in New York.</w:t>
      </w:r>
    </w:p>
    <w:p>
      <w:pPr>
        <w:pStyle w:val="Normal"/>
        <w:ind w:start="720" w:end="0"/>
        <w:jc w:val="both"/>
        <w:rPr/>
      </w:pPr>
      <w:r>
        <w:rPr/>
      </w:r>
    </w:p>
    <w:p>
      <w:pPr>
        <w:pStyle w:val="Normal"/>
        <w:ind w:start="720" w:end="0"/>
        <w:jc w:val="both"/>
        <w:rPr/>
      </w:pPr>
      <w:r>
        <w:rPr/>
        <w:t>“</w:t>
      </w:r>
      <w:r>
        <w:rPr>
          <w:u w:val="single"/>
        </w:rPr>
        <w:t>Enron Website</w:t>
      </w:r>
      <w:r>
        <w:rPr/>
        <w:t xml:space="preserve">” shall mean the website maintained by or for Enron and/or its affiliates located at </w:t>
      </w:r>
      <w:hyperlink r:id="rId2">
        <w:r>
          <w:rPr>
            <w:rStyle w:val="Hyperlink"/>
          </w:rPr>
          <w:t>http://www.enrononline.com</w:t>
        </w:r>
      </w:hyperlink>
      <w:r>
        <w:rPr/>
        <w:t xml:space="preserve"> (and/or any successor or additional addresses).</w:t>
      </w:r>
    </w:p>
    <w:p>
      <w:pPr>
        <w:pStyle w:val="Normal"/>
        <w:ind w:start="720" w:end="0"/>
        <w:jc w:val="both"/>
        <w:rPr/>
      </w:pPr>
      <w:r>
        <w:rPr/>
      </w:r>
    </w:p>
    <w:p>
      <w:pPr>
        <w:pStyle w:val="Normal"/>
        <w:ind w:start="720" w:end="0"/>
        <w:jc w:val="both"/>
        <w:rPr/>
      </w:pPr>
      <w:r>
        <w:rPr/>
        <w:t>“</w:t>
      </w:r>
      <w:r>
        <w:rPr>
          <w:u w:val="single"/>
        </w:rPr>
        <w:t>Publications</w:t>
      </w:r>
      <w:r>
        <w:rPr/>
        <w:t>” shall mean the daily publications written or produced by Argus, currently known as “AIR Daily” and “COAL Daily” pertaining to air emissions or the U.S. and/or European steam coal markets.  Publications shall be deemed to include (i) all news stories, articles, editorials, news and market commentary and analytical pieces or other content from the Publications each day and (ii) price updates on coal, price assessments, charts and U.S. and International COAL daily prices.</w:t>
      </w:r>
    </w:p>
    <w:p>
      <w:pPr>
        <w:pStyle w:val="Normal"/>
        <w:ind w:start="720" w:end="0"/>
        <w:jc w:val="both"/>
        <w:rPr/>
      </w:pPr>
      <w:r>
        <w:rPr/>
      </w:r>
    </w:p>
    <w:p>
      <w:pPr>
        <w:pStyle w:val="Normal"/>
        <w:ind w:start="720" w:end="0"/>
        <w:jc w:val="both"/>
        <w:rPr/>
      </w:pPr>
      <w:r>
        <w:rPr/>
        <w:t>“</w:t>
      </w:r>
      <w:r>
        <w:rPr>
          <w:u w:val="single"/>
        </w:rPr>
        <w:t>Subscriber</w:t>
      </w:r>
      <w:r>
        <w:rPr/>
        <w:t>” shall mean a person, corporation, partnership, limited liability company, organization or other entity that receives a distribution of the Publications or any portion thereof from Argus or any agent, broker, affiliate or other representative of Argus.</w:t>
      </w:r>
    </w:p>
    <w:p>
      <w:pPr>
        <w:pStyle w:val="Normal"/>
        <w:ind w:start="720" w:end="0"/>
        <w:jc w:val="both"/>
        <w:rPr/>
      </w:pPr>
      <w:r>
        <w:rPr/>
      </w:r>
    </w:p>
    <w:p>
      <w:pPr>
        <w:pStyle w:val="Normal"/>
        <w:ind w:start="720" w:end="0"/>
        <w:jc w:val="both"/>
        <w:rPr/>
      </w:pPr>
      <w:r>
        <w:rPr/>
        <w:t>“</w:t>
      </w:r>
      <w:r>
        <w:rPr>
          <w:u w:val="single"/>
        </w:rPr>
        <w:t>User</w:t>
      </w:r>
      <w:r>
        <w:rPr/>
        <w:t>” shall mean a person with a unique password and user name (other than Enron or any affiliate of Enron and their respective employees) who accesses the Publications on the Enron Website an average of three times or more per week over the period of any given quarter.</w:t>
      </w:r>
    </w:p>
    <w:p>
      <w:pPr>
        <w:pStyle w:val="Normal"/>
        <w:ind w:start="720" w:end="0"/>
        <w:jc w:val="both"/>
        <w:rPr/>
      </w:pPr>
      <w:r>
        <w:rPr/>
      </w:r>
    </w:p>
    <w:p>
      <w:pPr>
        <w:pStyle w:val="Normal"/>
        <w:jc w:val="both"/>
        <w:rPr/>
      </w:pPr>
      <w:r>
        <w:rPr/>
        <w:t>2.</w:t>
        <w:tab/>
      </w:r>
      <w:r>
        <w:rPr>
          <w:u w:val="single"/>
        </w:rPr>
        <w:t>Term and Service</w:t>
      </w:r>
      <w:r>
        <w:rPr/>
        <w:t>.  Commencing on October 1, 2001 (the “</w:t>
      </w:r>
      <w:r>
        <w:rPr>
          <w:u w:val="single"/>
        </w:rPr>
        <w:t>Commencement Date</w:t>
      </w:r>
      <w:r>
        <w:rPr/>
        <w:t>”) and continuing each day thereafter up to and including the day before the one year anniversary of the Commencement Date (the “</w:t>
      </w:r>
      <w:r>
        <w:rPr>
          <w:u w:val="single"/>
        </w:rPr>
        <w:t>Term</w:t>
      </w:r>
      <w:r>
        <w:rPr/>
        <w:t>”), Argus shall provide or make available the Publications to Enron on each day that it publishes the Publications via FTP (File Transfer Protocol) or via a website which can be accessed by Enron or via email addresses specified by Enron, prior to 11:59 P.M. Eastern Standard Time (EST) of a Business Day in PDF Format or any other format mutually agreed to by the parties (the ”</w:t>
      </w:r>
      <w:r>
        <w:rPr>
          <w:u w:val="single"/>
        </w:rPr>
        <w:t>Service</w:t>
      </w:r>
      <w:r>
        <w:rPr/>
        <w:t>”) so that Enron may post such Publications on the Enron Website.  Except as otherwise set forth herein, Enron shall not modify or edit the Publications.  Argus shall insure that there are no references to corporate sponsors in the Publications provided to Enron and in the event there are such references, Enron may remove such references at its sole discretion.</w:t>
      </w:r>
    </w:p>
    <w:p>
      <w:pPr>
        <w:pStyle w:val="Normal"/>
        <w:jc w:val="both"/>
        <w:rPr/>
      </w:pPr>
      <w:r>
        <w:rPr/>
      </w:r>
    </w:p>
    <w:p>
      <w:pPr>
        <w:pStyle w:val="Normal"/>
        <w:rPr/>
      </w:pPr>
      <w:r>
        <w:rPr/>
        <w:t>3.</w:t>
        <w:tab/>
        <w:t>INTENTIONALLY DELETED.</w:t>
      </w:r>
    </w:p>
    <w:p>
      <w:pPr>
        <w:pStyle w:val="Normal"/>
        <w:rPr/>
      </w:pPr>
      <w:r>
        <w:rPr/>
      </w:r>
    </w:p>
    <w:p>
      <w:pPr>
        <w:pStyle w:val="Normal"/>
        <w:jc w:val="both"/>
        <w:rPr/>
      </w:pPr>
      <w:r>
        <w:rPr/>
        <w:t>4.</w:t>
        <w:tab/>
      </w:r>
      <w:r>
        <w:rPr>
          <w:u w:val="single"/>
        </w:rPr>
        <w:t>Fees</w:t>
      </w:r>
      <w:r>
        <w:rPr/>
        <w:t>. During the Term, Enron shall pay to Argus a variable fee (the “</w:t>
      </w:r>
      <w:r>
        <w:rPr>
          <w:u w:val="single"/>
        </w:rPr>
        <w:t>Variable Fee</w:t>
      </w:r>
      <w:r>
        <w:rPr/>
        <w:t>”) on the thirtieth (30</w:t>
      </w:r>
      <w:r>
        <w:rPr>
          <w:vertAlign w:val="superscript"/>
        </w:rPr>
        <w:t>th</w:t>
      </w:r>
      <w:r>
        <w:rPr/>
        <w:t>) day after the expiration of each quarter (April 30, July 30, October 30 and January 30) which fee shall vary based on the number of Users during the preceding quarter and the Attrition Rate for such quarter in accordance with terms and conditions contained in Schedule I attached hereto and made a part hereof for all purposes.  All Variable Fee payments for any fractional quarter at the commencement or expiration of this Agreement shall be prorated based upon the number of days in such fractional quarter.  Notwithstanding the foregoing, the Variable Fee shall be no less than $5,000 each full quarter.</w:t>
      </w:r>
    </w:p>
    <w:p>
      <w:pPr>
        <w:pStyle w:val="Normal"/>
        <w:jc w:val="both"/>
        <w:rPr/>
      </w:pPr>
      <w:r>
        <w:rPr/>
      </w:r>
    </w:p>
    <w:p>
      <w:pPr>
        <w:pStyle w:val="Normal"/>
        <w:jc w:val="both"/>
        <w:rPr/>
      </w:pPr>
      <w:r>
        <w:rPr/>
        <w:t>5.</w:t>
        <w:tab/>
        <w:t>INTENTIONALLY DELETED.</w:t>
      </w:r>
    </w:p>
    <w:p>
      <w:pPr>
        <w:pStyle w:val="Normal"/>
        <w:jc w:val="both"/>
        <w:rPr/>
      </w:pPr>
      <w:r>
        <w:rPr/>
      </w:r>
    </w:p>
    <w:p>
      <w:pPr>
        <w:pStyle w:val="Normal"/>
        <w:rPr/>
      </w:pPr>
      <w:r>
        <w:rPr/>
        <w:t>6.</w:t>
        <w:tab/>
      </w:r>
      <w:r>
        <w:rPr>
          <w:u w:val="single"/>
        </w:rPr>
        <w:t>Reporting</w:t>
      </w:r>
      <w:r>
        <w:rPr/>
        <w:t>.</w:t>
      </w:r>
    </w:p>
    <w:p>
      <w:pPr>
        <w:pStyle w:val="Normal"/>
        <w:rPr/>
      </w:pPr>
      <w:r>
        <w:rPr/>
      </w:r>
    </w:p>
    <w:p>
      <w:pPr>
        <w:pStyle w:val="BodyTextIndent"/>
        <w:jc w:val="both"/>
        <w:rPr/>
      </w:pPr>
      <w:r>
        <w:rPr/>
        <w:t>(a)</w:t>
        <w:tab/>
        <w:t>Within ten (10) days after the Commencement Date, Argus shall submit to Enron a statement containing the number of Subscribers as of the Commencement Date, such statement to be certified by an authorized officer of Argus; and</w:t>
      </w:r>
    </w:p>
    <w:p>
      <w:pPr>
        <w:pStyle w:val="Normal"/>
        <w:ind w:start="720" w:end="0"/>
        <w:rPr/>
      </w:pPr>
      <w:r>
        <w:rPr/>
      </w:r>
    </w:p>
    <w:p>
      <w:pPr>
        <w:pStyle w:val="BodyTextIndent"/>
        <w:jc w:val="both"/>
        <w:rPr/>
      </w:pPr>
      <w:r>
        <w:rPr/>
        <w:t>(b)</w:t>
        <w:tab/>
        <w:t>Within ten (10) days after the expiration of each quarter commencing on the expiration of the first quarter after the Commencement Date, Enron shall submit to Argus a statement containing the number of Users during the preceding quarter and a statement setting forth the Variable Fee for the preceding quarter (or for the period from the Commencement Date to the end of the first quarter, as applicable), and the calculations made to determine such Variable Fee, such statement to be certified by an authorized officer of Enron.</w:t>
      </w:r>
    </w:p>
    <w:p>
      <w:pPr>
        <w:pStyle w:val="Normal"/>
        <w:jc w:val="both"/>
        <w:rPr/>
      </w:pPr>
      <w:r>
        <w:rPr/>
      </w:r>
    </w:p>
    <w:p>
      <w:pPr>
        <w:pStyle w:val="BodyTextIndent2"/>
        <w:rPr/>
      </w:pPr>
      <w:r>
        <w:rPr/>
        <w:t>(c)</w:t>
        <w:tab/>
        <w:t>Twice during the Term, Argus’ independent auditor, provided that such auditor executes a confidentiality agreement in form and substance satisfactory to Enron, at Argus’ sole cost and expense and upon ten (10) days’ written notice to Enron, will have the right to examine Enron’s relevant books and records in order to verify the figures reported in any report or statement required hereunder and the amounts owed by Enron pursuant to this Agreement.  Such books and records will be made available at the place where these records are kept in the ordinary course of business.  Argus shall have the right to make two (2) copies of such relevant books and records for the sole purpose of verification of such reports, statements and amounts, subject to Enron’s right to redact, prior to copying, any sensitive or proprietary information not relevant to the examination.  If as a result of such examination, Argus’ independent auditor determines that Enron misreported any figure or caused Enron to underpay any amount, Argus will promptly furnish to Enron a copy of the results of its audit setting forth the discrepancy, and showing, in reasonable detail, the basis upon which the same was determined.  Enron shall remit to Argus a sum equal to the amount of any underpayment within fifteen (15) days after notification of the discrepancy.  If such underpayment is greater than five percent (5%) of the total amount which should have been paid by Enron, then Enron shall reimburse Argus for the cost of the audit.</w:t>
      </w:r>
    </w:p>
    <w:p>
      <w:pPr>
        <w:pStyle w:val="Normal"/>
        <w:ind w:start="720" w:end="0"/>
        <w:jc w:val="both"/>
        <w:rPr/>
      </w:pPr>
      <w:r>
        <w:rPr/>
      </w:r>
    </w:p>
    <w:p>
      <w:pPr>
        <w:pStyle w:val="Normal"/>
        <w:jc w:val="both"/>
        <w:rPr/>
      </w:pPr>
      <w:r>
        <w:rPr/>
        <w:t>7.</w:t>
        <w:tab/>
      </w:r>
      <w:r>
        <w:rPr>
          <w:u w:val="single"/>
        </w:rPr>
        <w:t>Attrition Rate</w:t>
      </w:r>
      <w:r>
        <w:rPr/>
        <w:t>.</w:t>
        <w:tab/>
        <w:t xml:space="preserve">  After the expiration of the Term Argus may request an audit of the Attrition Rate by an independent auditor mutually agreed to by the parties (the “</w:t>
      </w:r>
      <w:r>
        <w:rPr>
          <w:u w:val="single"/>
        </w:rPr>
        <w:t>Attrition Rate Auditor”)</w:t>
      </w:r>
      <w:r>
        <w:rPr/>
        <w:t>.  Such request must be made prior to the thirtieth (30</w:t>
      </w:r>
      <w:r>
        <w:rPr>
          <w:vertAlign w:val="superscript"/>
        </w:rPr>
        <w:t>th</w:t>
      </w:r>
      <w:r>
        <w:rPr/>
        <w:t>) day after the expiration of the Term.  In the event Argus requests such an audit, Argus shall provide Enron with ten (10) days prior written notice of such audit.  Within ten (10) days after such request by Argus, (i) Argus shall submit a list to the Attrition Rate Auditor of (A) the identities of the Subscribers as of the Commencement Date, (B) the identities of the Subscribers who have cancelled or otherwise not renewed their subscription to a Publication since the Commencement Date, (C) the date on which such Subscriber cancelled or failed to renew its subscription and (D) documentation verifying the information referenced in items (A), (B) and (C) above, and (ii) Enron shall submit a list to the Attrition Rate Auditor of (X) the identities of all Users and (Y) documentation verifying the information referenced in item (X) above.  The Attrition Rate Auditor shall determine the Attrition Rate from such information and submit its findings to both parties.  Argus shall be responsible for the cost and expense of any audit except in the event the Attrition Rate exceeds ten percent (10%), in which case Enron shall be responsible for fifty percent (50%) of such cost and expense.  In the event an audit is not requested by Argus pursuant to this Section 7, the Attrition Rate shall be deemed to be zero (0).  The Attrition Rate shall never increase except by determination of the Attrition Rate Auditor.  In the event the Attrition Rate is deemed to have exceeded ten percent (10%) at any time during the Term, the Variable Fee shall be recalculated for each applicable quarter and any additional fees based on the Attrition Rate shall be paid by Enron to Argus within thirty (30) days after receipt by Enron of an invoice for same.  During the Term, Enron shall make the payments due pursuant to Section 4 based on an Attrition Rate of 0.</w:t>
      </w:r>
    </w:p>
    <w:p>
      <w:pPr>
        <w:pStyle w:val="Normal"/>
        <w:jc w:val="both"/>
        <w:rPr/>
      </w:pPr>
      <w:r>
        <w:rPr/>
      </w:r>
    </w:p>
    <w:p>
      <w:pPr>
        <w:pStyle w:val="Normal"/>
        <w:jc w:val="both"/>
        <w:rPr/>
      </w:pPr>
      <w:r>
        <w:rPr/>
        <w:t>8.</w:t>
        <w:tab/>
      </w:r>
      <w:r>
        <w:rPr>
          <w:u w:val="single"/>
        </w:rPr>
        <w:t>License</w:t>
      </w:r>
      <w:r>
        <w:rPr/>
        <w:t>.  Any and all original materials submitted by Argus to Enron in connection with the Services, including without limitation, ideas, concepts, processes, techniques, know-how, formulae, inventions, software programs, data, and any sequence or structural or organizational aspects of the Services, which are of general utility, shall remain the exclusive property of Argus.  Argus hereby licenses the Argus Authorized Trademarks so that Enron may quote Argus as the source of the Publications provided that the use of the Argus Authorized Trademarks shall not create or provide, and such use shall not indicate that Enron has, any right, title or interest in the Argus Authorized Trademarks other than the authorizations provided in this Agreement.</w:t>
      </w:r>
    </w:p>
    <w:p>
      <w:pPr>
        <w:pStyle w:val="Normal"/>
        <w:jc w:val="both"/>
        <w:rPr/>
      </w:pPr>
      <w:r>
        <w:rPr/>
      </w:r>
    </w:p>
    <w:p>
      <w:pPr>
        <w:pStyle w:val="Normal"/>
        <w:jc w:val="both"/>
        <w:rPr/>
      </w:pPr>
      <w:r>
        <w:rPr/>
        <w:t>9.</w:t>
        <w:tab/>
      </w:r>
      <w:r>
        <w:rPr>
          <w:u w:val="single"/>
        </w:rPr>
        <w:t>Standard of Services</w:t>
      </w:r>
      <w:r>
        <w:rPr/>
        <w:t>.  Argus agrees and covenants that the Service shall be conducted in accordance with all applicable laws and regulations and in accordance with all prevailing and accepted industry practices and standards of customer service, quality and fair dealing.  Argus expressly disclaims any warranty of merchantability and fitness for a particular purpose.</w:t>
      </w:r>
    </w:p>
    <w:p>
      <w:pPr>
        <w:pStyle w:val="Normal"/>
        <w:rPr/>
      </w:pPr>
      <w:r>
        <w:rPr/>
      </w:r>
    </w:p>
    <w:p>
      <w:pPr>
        <w:pStyle w:val="Normal"/>
        <w:jc w:val="both"/>
        <w:rPr/>
      </w:pPr>
      <w:r>
        <w:rPr/>
        <w:t>10.</w:t>
        <w:tab/>
      </w:r>
      <w:r>
        <w:rPr>
          <w:u w:val="single"/>
        </w:rPr>
        <w:t>Confidential Information</w:t>
      </w:r>
      <w:r>
        <w:rPr/>
        <w:t>.  Enron and Argus agree that the existence of this Agreement and all information (whether provided in writing, orally or in any other format) disclosed by either of them to the other during the negotiation of this Agreement or to be disclosed during the Term of this Agreement (including, without limitation, business plans, product ideas, marketing concepts, financial information and projections) shall constitute “</w:t>
      </w:r>
      <w:r>
        <w:rPr>
          <w:u w:val="single"/>
        </w:rPr>
        <w:t>Confidential Information</w:t>
      </w:r>
      <w:r>
        <w:rPr/>
        <w:t xml:space="preserve">”; </w:t>
      </w:r>
      <w:r>
        <w:rPr>
          <w:u w:val="single"/>
        </w:rPr>
        <w:t>provided</w:t>
      </w:r>
      <w:r>
        <w:rPr/>
        <w:t>, however that Confidential Information shall not include information (i) that is or becomes publicly known through no wrongful act of either party (or any of its employees), (ii) that has been approved for release by written authorization of the originating party, (iii) that has been disclosed pursuant to a requirement of a government agency or law or by a court of law, or (iv) that is known to such party at the time of disclosure or is thereafter acquired from a source other than the party disclosing such information.  During the Term, and at all times thereafter, the party to whom Confidential Information has been imparted shall maintain such information as confidential and shall not disclose or permit the same to be disclosed to any other persons or entity.  Each party shall take all reasonable steps to minimize the risks of disclosure of Confidential Information.  Each of the parties further agree that the unauthorized disclosure by it of Confidential Information received from the other shall cause irreparable harm and significant injury to the other which may be difficult to ascertain.  Accordingly, each party agrees that the other shall be entitled to equitable relief, including, without limitation, an immediate injunction enjoining any breach by it of this Section 10, in addition to all other remedies available to such party at law or in equity.  The parties agree that this Section 10 shall survive the termination or expiration of this Agreement for a period of two (2) years.</w:t>
      </w:r>
    </w:p>
    <w:p>
      <w:pPr>
        <w:pStyle w:val="Normal"/>
        <w:jc w:val="both"/>
        <w:rPr/>
      </w:pPr>
      <w:r>
        <w:rPr/>
      </w:r>
    </w:p>
    <w:p>
      <w:pPr>
        <w:pStyle w:val="Normal"/>
        <w:rPr/>
      </w:pPr>
      <w:r>
        <w:rPr/>
        <w:t xml:space="preserve">11. </w:t>
        <w:tab/>
      </w:r>
      <w:r>
        <w:rPr>
          <w:u w:val="single"/>
        </w:rPr>
        <w:t>Representations, Warranties and Covenants</w:t>
      </w:r>
      <w:r>
        <w:rPr/>
        <w:t>.</w:t>
      </w:r>
    </w:p>
    <w:p>
      <w:pPr>
        <w:pStyle w:val="Normal"/>
        <w:rPr>
          <w:u w:val="single"/>
        </w:rPr>
      </w:pPr>
      <w:r>
        <w:rPr>
          <w:u w:val="single"/>
        </w:rPr>
      </w:r>
    </w:p>
    <w:p>
      <w:pPr>
        <w:pStyle w:val="BodyTextIndent2"/>
        <w:rPr/>
      </w:pPr>
      <w:r>
        <w:rPr/>
        <w:t>(a)</w:t>
        <w:tab/>
        <w:t>Argus represents and warrants to Enron that (i) it has full power and authority, and has taken all action necessary, to execute and deliver this Agreement and to fulfill its obligations hereunder, (ii) the making and performance by it of this Agreement does not and shall not violate any law or regulation applicable to it, its certificate of incorporation, by-laws or other organizational documents or any other agreement to which it is a party or by which it is bound, (iii) this Agreement has been duly executed and delivered by it and constitutes its legal, valid and binding obligations, enforceable against it in accordance with the respective terms hereof (except to the extent that the enforceability thereof may be limited by bankruptcy, insolvency or other similar laws of general applicability affecting enforcement of creditors’ rights generally, or by a court’s discretion in relation to equitable remedies), (iv) all approvals, authorizations or other actions by, or filings with, any governmental authority or other person or entity necessary for the validity or enforceability of its obligations under this Agreement have been obtained, (v) it is the sole owner or a valid licensee of the Argus Authorized Trademarks, with full and absolute right to license the Argus Trademarks to Enron as contemplated herein, (vi) no part of the Publications or Argus Authorized Trademarks shall infringe upon the copyrights, trademarks, trade secrets, patents, intellectual property rights or any other proprietary rights of any other person or entity, (vii) the accuracy of the Publications provided under this Agreement shall be true and correct as of the date provided, (viii) the performance of Argus’ obligations under this Agreement shall not violate any applicable law, rule, regulation, order or injunction and shall not violate any intellectual property rights in force of any third party, and (ix) it shall employ and dedicate sufficient resources and qualified personnel in order to fully, properly and adequately perform the required services and activities set forth in this Agreement.</w:t>
      </w:r>
    </w:p>
    <w:p>
      <w:pPr>
        <w:pStyle w:val="BodyTextIndent2"/>
        <w:rPr/>
      </w:pPr>
      <w:r>
        <w:rPr/>
      </w:r>
    </w:p>
    <w:p>
      <w:pPr>
        <w:pStyle w:val="BodyTextIndent2"/>
        <w:rPr/>
      </w:pPr>
      <w:r>
        <w:rPr/>
        <w:t>(b)</w:t>
        <w:tab/>
        <w:t>Enron represents and warrants to Argus that (i) it has full power and authority, and has taken all action necessary, to execute and deliver this Agreement and to fulfill its obligations hereunder, (ii) the making and performance by it of this Agreement does not and shall not violate any law or regulation applicable to it, its certificate of incorporation, by-laws or other organizational documents or any other agreement to which it is a party or by which it is bound, and (iii) this Agreement has been duly executed and delivered by it and constitutes its legal, valid and binding obligations, enforceable against it in accordance with the respective terms hereof (except to the extent that the enforceability thereof may be limited by bankruptcy, insolvency or other similar laws of general applicability affecting enforcement of creditors’ rights generally, or by a court’s discretion in relation to equitable remedies).</w:t>
      </w:r>
    </w:p>
    <w:p>
      <w:pPr>
        <w:pStyle w:val="Normal"/>
        <w:ind w:start="720" w:end="0"/>
        <w:jc w:val="both"/>
        <w:rPr/>
      </w:pPr>
      <w:r>
        <w:rPr/>
      </w:r>
    </w:p>
    <w:p>
      <w:pPr>
        <w:pStyle w:val="Normal"/>
        <w:rPr/>
      </w:pPr>
      <w:r>
        <w:rPr/>
        <w:t>12.</w:t>
        <w:tab/>
      </w:r>
      <w:r>
        <w:rPr>
          <w:u w:val="single"/>
        </w:rPr>
        <w:t>Indemnification</w:t>
      </w:r>
      <w:r>
        <w:rPr/>
        <w:t xml:space="preserve">. </w:t>
      </w:r>
    </w:p>
    <w:p>
      <w:pPr>
        <w:pStyle w:val="Normal"/>
        <w:ind w:start="360" w:end="0"/>
        <w:jc w:val="both"/>
        <w:rPr/>
      </w:pPr>
      <w:r>
        <w:rPr/>
      </w:r>
    </w:p>
    <w:p>
      <w:pPr>
        <w:pStyle w:val="BodyTextIndent2"/>
        <w:rPr/>
      </w:pPr>
      <w:r>
        <w:rPr/>
        <w:t>(a)</w:t>
        <w:tab/>
        <w:t>Argus agrees to indemnify and hold harmless Enron and its affiliates, officers, directors, employees, representatives, agents and successors and assigns from and against any and all claims and losses (including, but not limited to, attorneys’ fees, expect witness fees and expenses) arising from or in connection with a breach of, or failure to perform, any of its representations, warranties and covenants set forth in this Agreement or in the performance of any of its duties, responsibilities or services under this Agreement.</w:t>
      </w:r>
    </w:p>
    <w:p>
      <w:pPr>
        <w:pStyle w:val="Normal"/>
        <w:ind w:start="720" w:end="0"/>
        <w:jc w:val="both"/>
        <w:rPr/>
      </w:pPr>
      <w:r>
        <w:rPr/>
      </w:r>
    </w:p>
    <w:p>
      <w:pPr>
        <w:pStyle w:val="BodyTextIndent"/>
        <w:jc w:val="both"/>
        <w:rPr/>
      </w:pPr>
      <w:r>
        <w:rPr/>
        <w:t>(b)</w:t>
        <w:tab/>
        <w:t>Enron agrees to indemnify and hold harmless Argus and its officers, directors, employees, representatives, agents and successors and assigns from and against any and all claims and losses (including but not limited to, attorneys’ fees, expert witness fees and expenses) arising from or in connection with a breach of or failure to perform, any of its representations, warranties and covenants set forth in this Agreement or in the performance of any of its duties, responsibilities or services under this Agreement.</w:t>
      </w:r>
    </w:p>
    <w:p>
      <w:pPr>
        <w:pStyle w:val="Normal"/>
        <w:jc w:val="both"/>
        <w:rPr/>
      </w:pPr>
      <w:r>
        <w:rPr/>
      </w:r>
    </w:p>
    <w:p>
      <w:pPr>
        <w:pStyle w:val="Normal"/>
        <w:jc w:val="both"/>
        <w:rPr/>
      </w:pPr>
      <w:r>
        <w:rPr/>
        <w:t>13.</w:t>
        <w:tab/>
      </w:r>
      <w:r>
        <w:rPr>
          <w:u w:val="single"/>
        </w:rPr>
        <w:t>Insurance</w:t>
      </w:r>
      <w:r>
        <w:rPr/>
        <w:t>.  Argus agrees that it will maintain insurance with a carrier reasonably acceptable to Enron and with coverage for commercial general liability and errors and omissions of at least one million dollars per occurrence.  Argus will name Enron as an additional insured on such insurance and will provide evidence of such insurance to Enron within ten (10) days after the date hereof.  Such insurance policy shall not be cancelled or modified without Enron’s prior written consent.</w:t>
      </w:r>
    </w:p>
    <w:p>
      <w:pPr>
        <w:pStyle w:val="Normal"/>
        <w:jc w:val="both"/>
        <w:rPr/>
      </w:pPr>
      <w:r>
        <w:rPr/>
      </w:r>
    </w:p>
    <w:p>
      <w:pPr>
        <w:pStyle w:val="Normal"/>
        <w:jc w:val="both"/>
        <w:rPr/>
      </w:pPr>
      <w:r>
        <w:rPr/>
        <w:t>14.</w:t>
        <w:tab/>
      </w:r>
      <w:r>
        <w:rPr>
          <w:u w:val="single"/>
        </w:rPr>
        <w:t>Termination for Breach</w:t>
      </w:r>
      <w:r>
        <w:rPr/>
        <w:t>.</w:t>
      </w:r>
    </w:p>
    <w:p>
      <w:pPr>
        <w:pStyle w:val="Normal"/>
        <w:jc w:val="both"/>
        <w:rPr/>
      </w:pPr>
      <w:r>
        <w:rPr/>
      </w:r>
    </w:p>
    <w:p>
      <w:pPr>
        <w:pStyle w:val="BodyTextIndent2"/>
        <w:rPr/>
      </w:pPr>
      <w:r>
        <w:rPr/>
        <w:t>(a)</w:t>
        <w:tab/>
        <w:t>In addition to any other remedy available at law or in equity, either party may terminate this Agreement immediately, without further obligation to the other party, in the event of a breach of this Agreement by the other party that is not cured within ten (10) days’ written notice of such breach.</w:t>
      </w:r>
    </w:p>
    <w:p>
      <w:pPr>
        <w:pStyle w:val="Normal"/>
        <w:ind w:start="720" w:end="0"/>
        <w:jc w:val="both"/>
        <w:rPr/>
      </w:pPr>
      <w:r>
        <w:rPr/>
      </w:r>
    </w:p>
    <w:p>
      <w:pPr>
        <w:pStyle w:val="Normal"/>
        <w:ind w:start="720" w:end="0"/>
        <w:jc w:val="both"/>
        <w:rPr/>
      </w:pPr>
      <w:r>
        <w:rPr/>
        <w:t>(b)</w:t>
        <w:tab/>
        <w:t>In addition to the right of termination set forth in Section 14(a) above and in addition to any other remedies available at law or in equity, in the event that due to any reason within Argus’ control, there is an interruption in the Service which continues for three (3) days following written notice to Argus of such interruption or ten (10) days in the aggregate during the Term of this Agreement, Enron may terminate this Agreement immediately, in which case Argus shall refund pro rata any of the Subscription Fee paid in advance.</w:t>
      </w:r>
    </w:p>
    <w:p>
      <w:pPr>
        <w:pStyle w:val="Normal"/>
        <w:ind w:start="720" w:end="0"/>
        <w:jc w:val="both"/>
        <w:rPr/>
      </w:pPr>
      <w:r>
        <w:rPr/>
      </w:r>
    </w:p>
    <w:p>
      <w:pPr>
        <w:pStyle w:val="Normal"/>
        <w:jc w:val="both"/>
        <w:rPr/>
      </w:pPr>
      <w:r>
        <w:rPr/>
        <w:t>15.</w:t>
        <w:tab/>
      </w:r>
      <w:r>
        <w:rPr>
          <w:u w:val="single"/>
        </w:rPr>
        <w:t>Notices</w:t>
      </w:r>
      <w:r>
        <w:rPr/>
        <w:t>.  Any notices or consents required or permitted by this Agreement shall be in writing and (i) delivered in person or (ii) by registered or certified mail, postage prepaid return receipt requested, or (iii) by a reputable courier delivery service, or (iv) by facsimile during regular business hours (provided that a confirmation copy follows by any other method of delivery permitted under this Section 15), as follows unless such address is changed by written notice hereunder, and such notice shall be deemed given for purposes of this Agreement on the day that such writing is sent to the intended recipient thereof in accordance with this Section:</w:t>
      </w:r>
    </w:p>
    <w:p>
      <w:pPr>
        <w:pStyle w:val="Normal"/>
        <w:jc w:val="both"/>
        <w:rPr/>
      </w:pPr>
      <w:r>
        <w:rPr/>
      </w:r>
    </w:p>
    <w:p>
      <w:pPr>
        <w:pStyle w:val="Normal"/>
        <w:jc w:val="both"/>
        <w:rPr/>
      </w:pPr>
      <w:r>
        <w:rPr/>
        <w:tab/>
        <w:t>If to Enron:</w:t>
        <w:tab/>
        <w:tab/>
        <w:tab/>
        <w:tab/>
        <w:tab/>
        <w:t>If to Argus:</w:t>
      </w:r>
    </w:p>
    <w:p>
      <w:pPr>
        <w:pStyle w:val="Normal"/>
        <w:jc w:val="both"/>
        <w:rPr/>
      </w:pPr>
      <w:r>
        <w:rPr/>
      </w:r>
    </w:p>
    <w:p>
      <w:pPr>
        <w:pStyle w:val="Normal"/>
        <w:jc w:val="both"/>
        <w:rPr/>
      </w:pPr>
      <w:r>
        <w:rPr/>
        <w:tab/>
        <w:t>Enron Net Works LLC</w:t>
        <w:tab/>
        <w:tab/>
        <w:tab/>
        <w:t xml:space="preserve"> Energy Argus Incorporated</w:t>
      </w:r>
    </w:p>
    <w:p>
      <w:pPr>
        <w:pStyle w:val="Normal"/>
        <w:jc w:val="both"/>
        <w:rPr/>
      </w:pPr>
      <w:r>
        <w:rPr/>
        <w:tab/>
        <w:t>1400 Smith Street</w:t>
        <w:tab/>
        <w:tab/>
        <w:tab/>
        <w:tab/>
        <w:t>129 Washington Street, Suite 201</w:t>
      </w:r>
    </w:p>
    <w:p>
      <w:pPr>
        <w:pStyle w:val="Normal"/>
        <w:jc w:val="both"/>
        <w:rPr/>
      </w:pPr>
      <w:r>
        <w:rPr/>
        <w:tab/>
        <w:t>Houston, Texas 77002</w:t>
        <w:tab/>
        <w:tab/>
        <w:tab/>
        <w:t>Hoboken, New Jersey 07030</w:t>
      </w:r>
    </w:p>
    <w:p>
      <w:pPr>
        <w:pStyle w:val="Normal"/>
        <w:jc w:val="both"/>
        <w:rPr/>
      </w:pPr>
      <w:r>
        <w:rPr/>
        <w:tab/>
        <w:t>Attn:  Brad Richter</w:t>
        <w:tab/>
        <w:tab/>
        <w:tab/>
        <w:tab/>
        <w:t>Attn:  Abudi Zein</w:t>
      </w:r>
    </w:p>
    <w:p>
      <w:pPr>
        <w:pStyle w:val="Normal"/>
        <w:jc w:val="both"/>
        <w:rPr/>
      </w:pPr>
      <w:r>
        <w:rPr/>
        <w:tab/>
        <w:t>Fax:</w:t>
        <w:tab/>
        <w:t>(713) 646-2126</w:t>
        <w:tab/>
        <w:tab/>
        <w:tab/>
        <w:t>Fax: (201) 659-6006</w:t>
      </w:r>
    </w:p>
    <w:p>
      <w:pPr>
        <w:pStyle w:val="Normal"/>
        <w:jc w:val="both"/>
        <w:rPr/>
      </w:pPr>
      <w:r>
        <w:rPr/>
      </w:r>
    </w:p>
    <w:p>
      <w:pPr>
        <w:pStyle w:val="Normal"/>
        <w:jc w:val="both"/>
        <w:rPr/>
      </w:pPr>
      <w:r>
        <w:rPr/>
        <w:t>In the event Argus needs to send Enron notice of any alleged default or breach of this Agreement, Argus shall send notice pursuant to the foregoing to the attention of Managing Director, Information Technology, with a copy to Enron’s Executive Vice President and General Counsel.</w:t>
      </w:r>
    </w:p>
    <w:p>
      <w:pPr>
        <w:pStyle w:val="Normal"/>
        <w:jc w:val="both"/>
        <w:rPr/>
      </w:pPr>
      <w:r>
        <w:rPr/>
      </w:r>
    </w:p>
    <w:p>
      <w:pPr>
        <w:pStyle w:val="Normal"/>
        <w:jc w:val="both"/>
        <w:rPr/>
      </w:pPr>
      <w:r>
        <w:rPr/>
        <w:t>16.</w:t>
        <w:tab/>
      </w:r>
      <w:r>
        <w:rPr>
          <w:u w:val="single"/>
        </w:rPr>
        <w:t>Assignment</w:t>
      </w:r>
      <w:r>
        <w:rPr/>
        <w:t xml:space="preserve">.  Neither party may assign this Agreement without the prior written consent to the other party, and any attempt by a party to assign this Agreement without such consent shall be null and void and a material breach of this Agreement; </w:t>
      </w:r>
      <w:r>
        <w:rPr>
          <w:u w:val="single"/>
        </w:rPr>
        <w:t>provided</w:t>
      </w:r>
      <w:r>
        <w:rPr/>
        <w:t xml:space="preserve">, </w:t>
      </w:r>
      <w:r>
        <w:rPr>
          <w:u w:val="single"/>
        </w:rPr>
        <w:t>however</w:t>
      </w:r>
      <w:r>
        <w:rPr/>
        <w:t>, that either party may assign this Agreement (i) to any entity in which the party has a greater than fifty percent (50%) equity ownership interest or of which the party has voting control, or (ii) to any entity which acquires more than fifty percent (50%) of that party’s equity ownership interests (whether by merger or otherwise) or substantially all that party’s assets, provided the parties shall remain responsible for the performance of the obligations hereunder.</w:t>
      </w:r>
    </w:p>
    <w:p>
      <w:pPr>
        <w:pStyle w:val="Normal"/>
        <w:jc w:val="both"/>
        <w:rPr/>
      </w:pPr>
      <w:r>
        <w:rPr/>
      </w:r>
    </w:p>
    <w:p>
      <w:pPr>
        <w:pStyle w:val="Normal"/>
        <w:jc w:val="both"/>
        <w:rPr/>
      </w:pPr>
      <w:r>
        <w:rPr/>
        <w:t>17.</w:t>
        <w:tab/>
      </w:r>
      <w:r>
        <w:rPr>
          <w:u w:val="single"/>
        </w:rPr>
        <w:t>Illegal Distribution</w:t>
      </w:r>
      <w:r>
        <w:rPr/>
        <w:t>.  Enron shall use good faith efforts to ensure that the Publications are distributed by Enron only to intended Users and Enron shall notify Argus as soon as reasonably possible upon its actual knowledge of any illegal distribution of the Publications provided that Argus shall have the sole responsibility of initiating and maintaining any action, legal or otherwise in the case of any such illegal distribution.</w:t>
      </w:r>
    </w:p>
    <w:p>
      <w:pPr>
        <w:pStyle w:val="Normal"/>
        <w:jc w:val="both"/>
        <w:rPr/>
      </w:pPr>
      <w:r>
        <w:rPr/>
      </w:r>
    </w:p>
    <w:p>
      <w:pPr>
        <w:pStyle w:val="Normal"/>
        <w:jc w:val="both"/>
        <w:rPr/>
      </w:pPr>
      <w:r>
        <w:rPr/>
        <w:t>18.</w:t>
        <w:tab/>
      </w:r>
      <w:r>
        <w:rPr>
          <w:u w:val="single"/>
        </w:rPr>
        <w:t>Governing Law</w:t>
      </w:r>
      <w:r>
        <w:rPr/>
        <w:t xml:space="preserve">.  This Agreement shall be governed by and construed in accordance with the laws of the State of Texas, the United States, without reference to the choice of law principles thereof. </w:t>
      </w:r>
    </w:p>
    <w:p>
      <w:pPr>
        <w:pStyle w:val="Normal"/>
        <w:jc w:val="both"/>
        <w:rPr/>
      </w:pPr>
      <w:r>
        <w:rPr/>
      </w:r>
    </w:p>
    <w:p>
      <w:pPr>
        <w:pStyle w:val="Normal"/>
        <w:jc w:val="both"/>
        <w:rPr/>
      </w:pPr>
      <w:r>
        <w:rPr/>
        <w:t>19.</w:t>
        <w:tab/>
      </w:r>
      <w:r>
        <w:rPr>
          <w:u w:val="single"/>
        </w:rPr>
        <w:t>Limitations of Liability</w:t>
      </w:r>
      <w:r>
        <w:rPr/>
        <w:t>.  IN NO EVENT SHALL EITHER PARTY (OR THEIR AFFILIATES) BE LIABLE TO ANY PERSON FOR LOST PROFITS OR ANY FORM OF INDIRECT, SPECIAL, INCIDENTAL, EXEMPLARY, PUNITIVE OR CONSEQUENTIAL DAMAGES OF ANY CHARACTER FROM ANY CAUSES OF ACTION OF ANY KIND WITH RESPECT TO THIS AGREEMENT, WHETHER BASED ON BREACH OF CONTRACT, TORT (INCLUDING NEGLIGENCE) OR OTHERWISE.</w:t>
      </w:r>
    </w:p>
    <w:p>
      <w:pPr>
        <w:pStyle w:val="Normal"/>
        <w:jc w:val="both"/>
        <w:rPr/>
      </w:pPr>
      <w:r>
        <w:rPr/>
      </w:r>
    </w:p>
    <w:p>
      <w:pPr>
        <w:pStyle w:val="Normal"/>
        <w:jc w:val="both"/>
        <w:rPr/>
      </w:pPr>
      <w:r>
        <w:rPr/>
        <w:t>20.</w:t>
        <w:tab/>
      </w:r>
      <w:r>
        <w:rPr>
          <w:u w:val="single"/>
        </w:rPr>
        <w:t>Headings; References</w:t>
      </w:r>
      <w:r>
        <w:rPr/>
        <w:t>.  The titles and headings of sections of this Agreement are for convenience of reference only and shall not in any way affect the construction or interpretation of any provisions hereof.  All references herein to “Sections” or “Schedules” shall be deemed to be references to Sections hereof or Schedules hereto unless otherwise indicated.</w:t>
      </w:r>
    </w:p>
    <w:p>
      <w:pPr>
        <w:pStyle w:val="Normal"/>
        <w:jc w:val="both"/>
        <w:rPr/>
      </w:pPr>
      <w:r>
        <w:rPr/>
      </w:r>
    </w:p>
    <w:p>
      <w:pPr>
        <w:pStyle w:val="Normal"/>
        <w:jc w:val="both"/>
        <w:rPr/>
      </w:pPr>
      <w:r>
        <w:rPr/>
        <w:t>21.</w:t>
        <w:tab/>
      </w:r>
      <w:r>
        <w:rPr>
          <w:u w:val="single"/>
        </w:rPr>
        <w:t>Counterparts</w:t>
      </w:r>
      <w:r>
        <w:rPr/>
        <w:t>.  This Agreement may be executed simultaneously in counterparts, each of which shall be deemed an original and all of which together shall constitute one and the same instrument.  Transmission by telecopy of an executed counterpart of this Agreement shall be deemed to constitute due and sufficient delivery of such counterpart.</w:t>
      </w:r>
    </w:p>
    <w:p>
      <w:pPr>
        <w:pStyle w:val="Normal"/>
        <w:jc w:val="both"/>
        <w:rPr/>
      </w:pPr>
      <w:r>
        <w:rPr/>
      </w:r>
    </w:p>
    <w:p>
      <w:pPr>
        <w:pStyle w:val="Normal"/>
        <w:jc w:val="both"/>
        <w:rPr/>
      </w:pPr>
      <w:r>
        <w:rPr/>
        <w:t>22.</w:t>
        <w:tab/>
      </w:r>
      <w:r>
        <w:rPr>
          <w:u w:val="single"/>
        </w:rPr>
        <w:t>Amendments; Waivers</w:t>
      </w:r>
      <w:r>
        <w:rPr/>
        <w:t>.  Any amendments to, or waivers of, any provision of this Agreement shall be in writing and signed by both parties or, in the case of a waiver, by the party waiving compliance, and any such waiver shall be effective only in the specific instance and for the specific purpose given.  No failure or delay in the exercise, by either party, of any right, remedy, power or privilege hereunder shall operate as a waiver thereof; nor shall any single or partial exercise of any right, remedy, power or privilege hereunder preclude any other or further exercise thereof or the exercise of any other right, remedy, power or privilege.</w:t>
      </w:r>
    </w:p>
    <w:p>
      <w:pPr>
        <w:pStyle w:val="Normal"/>
        <w:jc w:val="both"/>
        <w:rPr/>
      </w:pPr>
      <w:r>
        <w:rPr/>
      </w:r>
    </w:p>
    <w:p>
      <w:pPr>
        <w:pStyle w:val="Normal"/>
        <w:jc w:val="both"/>
        <w:rPr/>
      </w:pPr>
      <w:r>
        <w:rPr/>
        <w:t>23.</w:t>
        <w:tab/>
      </w:r>
      <w:r>
        <w:rPr>
          <w:u w:val="single"/>
        </w:rPr>
        <w:t>Cumulative Remedies; Binding Effect</w:t>
      </w:r>
      <w:r>
        <w:rPr/>
        <w:t>.  The rights, remedies, powers and privileges herein provided are cumulative and not exclusive of any rights, remedies, powers and privileges provided by law or in equity.  This Agreement shall be binding upon and inure to the benefit of the parties hereto and their respective successors and permitted assigns.</w:t>
      </w:r>
    </w:p>
    <w:p>
      <w:pPr>
        <w:pStyle w:val="Normal"/>
        <w:jc w:val="both"/>
        <w:rPr/>
      </w:pPr>
      <w:r>
        <w:rPr/>
      </w:r>
    </w:p>
    <w:p>
      <w:pPr>
        <w:pStyle w:val="Normal"/>
        <w:jc w:val="both"/>
        <w:rPr/>
      </w:pPr>
      <w:r>
        <w:rPr/>
        <w:t>24.</w:t>
        <w:tab/>
      </w:r>
      <w:r>
        <w:rPr>
          <w:u w:val="single"/>
        </w:rPr>
        <w:t>Relationship of the Parties</w:t>
      </w:r>
      <w:r>
        <w:rPr/>
        <w:t>.  No agency, partnership, joint venture, or employment relationship shall be created or inferred by the existence or performance of this Agreement, and neither party shall have any authority to bind the other in any respect whatsoever.</w:t>
      </w:r>
    </w:p>
    <w:p>
      <w:pPr>
        <w:pStyle w:val="Normal"/>
        <w:jc w:val="both"/>
        <w:rPr/>
      </w:pPr>
      <w:r>
        <w:rPr/>
      </w:r>
    </w:p>
    <w:p>
      <w:pPr>
        <w:pStyle w:val="Normal"/>
        <w:jc w:val="both"/>
        <w:rPr/>
      </w:pPr>
      <w:r>
        <w:rPr/>
        <w:t>25.</w:t>
        <w:tab/>
      </w:r>
      <w:r>
        <w:rPr>
          <w:u w:val="single"/>
        </w:rPr>
        <w:t>Severability</w:t>
      </w:r>
      <w:r>
        <w:rPr/>
        <w:t>.  Whenever possible, each provision of this Agreement shall be interpreted in such manner as to be effective and valid under applicable law, but if any provision of this Agreement is held to be prohibited by or invalid under applicable law, such provision shall be ineffective only to the extent of such prohibition or invalidity, without invalidating the remainder of this Agreement.</w:t>
      </w:r>
    </w:p>
    <w:p>
      <w:pPr>
        <w:pStyle w:val="Normal"/>
        <w:jc w:val="both"/>
        <w:rPr/>
      </w:pPr>
      <w:r>
        <w:rPr/>
      </w:r>
    </w:p>
    <w:p>
      <w:pPr>
        <w:pStyle w:val="Normal"/>
        <w:jc w:val="both"/>
        <w:rPr/>
      </w:pPr>
      <w:r>
        <w:rPr/>
        <w:t>26.</w:t>
        <w:tab/>
      </w:r>
      <w:r>
        <w:rPr>
          <w:u w:val="single"/>
        </w:rPr>
        <w:t>Reliance and Benefit</w:t>
      </w:r>
      <w:r>
        <w:rPr/>
        <w:t>.  This Agreement is intended for the sole and exclusive benefit of the parties hereto and is not intended to confer any benefit upon any other persons whatsoever.  Except for the parties hereto, no other person shall have any right to rely upon this Agreement for any purpose whatsoever.</w:t>
      </w:r>
    </w:p>
    <w:p>
      <w:pPr>
        <w:pStyle w:val="Normal"/>
        <w:jc w:val="both"/>
        <w:rPr/>
      </w:pPr>
      <w:r>
        <w:rPr/>
      </w:r>
    </w:p>
    <w:p>
      <w:pPr>
        <w:pStyle w:val="Normal"/>
        <w:jc w:val="both"/>
        <w:rPr/>
      </w:pPr>
      <w:r>
        <w:rPr/>
        <w:t>27.</w:t>
        <w:tab/>
      </w:r>
      <w:r>
        <w:rPr>
          <w:u w:val="single"/>
        </w:rPr>
        <w:t>Interpretation</w:t>
      </w:r>
      <w:r>
        <w:rPr/>
        <w:t>.  All terms set forth in this Agreement and not otherwise defined herein shall be construed to have meanings consistent with the Internet, World Wide Web and telecommunications industry.</w:t>
      </w:r>
    </w:p>
    <w:p>
      <w:pPr>
        <w:pStyle w:val="Normal"/>
        <w:jc w:val="both"/>
        <w:rPr/>
      </w:pPr>
      <w:r>
        <w:rPr/>
      </w:r>
    </w:p>
    <w:p>
      <w:pPr>
        <w:pStyle w:val="Normal"/>
        <w:jc w:val="both"/>
        <w:rPr/>
      </w:pPr>
      <w:r>
        <w:rPr/>
        <w:t>28.</w:t>
        <w:tab/>
      </w:r>
      <w:r>
        <w:rPr>
          <w:u w:val="single"/>
        </w:rPr>
        <w:t>Entire Agreement</w:t>
      </w:r>
      <w:r>
        <w:rPr/>
        <w:t>.  This Agreement, together with the Schedules hereto, constitutes the sole and entire understanding between the parties with respect to the subject matter hereof and supersedes all prior agreements and understandings between the parties with respect to such subject matter, including, but not limited to, that certain Information Services Agreement dated June 1, 2000, between Enron and Fieldston Publications, Inc., which agreement is now owned by Argus as the successor to Fieldston Publications, Inc.</w:t>
      </w:r>
    </w:p>
    <w:p>
      <w:pPr>
        <w:pStyle w:val="Normal"/>
        <w:jc w:val="both"/>
        <w:rPr/>
      </w:pPr>
      <w:r>
        <w:rPr/>
      </w:r>
    </w:p>
    <w:p>
      <w:pPr>
        <w:pStyle w:val="Normal"/>
        <w:jc w:val="both"/>
        <w:rPr/>
      </w:pPr>
      <w:r>
        <w:rPr/>
        <w:t>29.</w:t>
        <w:tab/>
      </w:r>
      <w:r>
        <w:rPr>
          <w:u w:val="single"/>
        </w:rPr>
        <w:t>Arbitration</w:t>
      </w:r>
      <w:r>
        <w:rPr/>
        <w:t>.  Except for any claim arising out of a breach of Section 10, in which case the non-breaching party may apply to a court to enjoin any breach of such Section,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The arbitration proceeding shall be held in the City of Houston, State of Texas, USA, unless otherwise agreed to in writing by the parties hereto, shall be governed by the Federal Arbitration Act and shall be conducted in accordance with the rules of the American Arbitration Association (“</w:t>
      </w:r>
      <w:r>
        <w:rPr>
          <w:u w:val="single"/>
        </w:rPr>
        <w:t>AAA</w:t>
      </w:r>
      <w:r>
        <w:rPr/>
        <w:t>”).  In deciding the substance of the parties’ Claims, the arbitrators shall refer to the laws of the State of Texas.  Each party shall designate an arbitrator, who need not be impartial, within thirty (30) days of receiving notification of the filing with AAA of an arbitration demand.  The two designated arbitrators shall elect a third arbitrator.  If either party fails to designate the third arbitrator within thirty (30) days of their appointments, arbitrators shall be appointed by AAA such that there will be three arbitrators.  The parties agree that (a) the arbitrators shall be knowledgeable in industry standards and practices and the matters giving rise to the dispute, (b) the arbitrators shall not have the power and authority to award treble, exemplary or punitive damages of any type under any circumstances whether or not such damages may be available under state, or federal law, or under the Commercial Arbitration Rules of the AAA, the parties hereby waiving their right, if any, to recover such damages, (c) the authority of the arbitrators shall be limited to construing and enforcing the terms and conditions of this Agreement as expressly set forth herein, and (d) the arbitrators shall state the reasons for their award and their legal and factual conclusions underlying the award of the arbitrators shall be final, and judgment upon the award may be confirmed and entered in any court, state or Federal, having jurisdiction.</w:t>
      </w:r>
    </w:p>
    <w:p>
      <w:pPr>
        <w:pStyle w:val="Normal"/>
        <w:jc w:val="both"/>
        <w:rPr/>
      </w:pPr>
      <w:r>
        <w:rPr/>
      </w:r>
    </w:p>
    <w:p>
      <w:pPr>
        <w:pStyle w:val="Normal"/>
        <w:jc w:val="both"/>
        <w:rPr/>
      </w:pPr>
      <w:r>
        <w:rPr/>
        <w:t>30.</w:t>
        <w:tab/>
      </w:r>
      <w:r>
        <w:rPr>
          <w:u w:val="single"/>
        </w:rPr>
        <w:t>Access</w:t>
      </w:r>
      <w:r>
        <w:rPr/>
        <w:t>.  Upon written request to Enron by Argus, Enron will provide Argus with temporary access to the Enron Website for the purpose of reviewing the Publications.</w:t>
      </w:r>
    </w:p>
    <w:p>
      <w:pPr>
        <w:pStyle w:val="Normal"/>
        <w:jc w:val="both"/>
        <w:rPr/>
      </w:pPr>
      <w:r>
        <w:rPr/>
      </w:r>
    </w:p>
    <w:p>
      <w:pPr>
        <w:pStyle w:val="Normal"/>
        <w:jc w:val="both"/>
        <w:rPr/>
      </w:pPr>
      <w:r>
        <w:rPr/>
        <w:t>IN WITNESS WHEREOF, the parties hereto have caused this instrument to be duly executed as of the day and year first above written.</w:t>
      </w:r>
    </w:p>
    <w:p>
      <w:pPr>
        <w:pStyle w:val="Normal"/>
        <w:jc w:val="both"/>
        <w:rPr/>
      </w:pPr>
      <w:r>
        <w:rPr/>
      </w:r>
    </w:p>
    <w:p>
      <w:pPr>
        <w:pStyle w:val="Normal"/>
        <w:jc w:val="both"/>
        <w:rPr/>
      </w:pPr>
      <w:r>
        <w:rPr/>
      </w:r>
    </w:p>
    <w:p>
      <w:pPr>
        <w:pStyle w:val="Normal"/>
        <w:jc w:val="both"/>
        <w:rPr/>
      </w:pPr>
      <w:r>
        <w:rPr/>
        <w:t>Enron Net Works LLC</w:t>
        <w:tab/>
        <w:tab/>
        <w:tab/>
        <w:t>Energy Argus Incorporated</w:t>
      </w:r>
    </w:p>
    <w:p>
      <w:pPr>
        <w:pStyle w:val="Normal"/>
        <w:jc w:val="both"/>
        <w:rPr/>
      </w:pPr>
      <w:r>
        <w:rPr/>
      </w:r>
    </w:p>
    <w:p>
      <w:pPr>
        <w:pStyle w:val="Normal"/>
        <w:tabs>
          <w:tab w:val="clear" w:pos="720"/>
          <w:tab w:val="left" w:pos="4320" w:leader="none"/>
        </w:tabs>
        <w:jc w:val="both"/>
        <w:rPr/>
      </w:pPr>
      <w:r>
        <w:rPr/>
        <w:t>By: ____________________________</w:t>
        <w:tab/>
        <w:t>By: ____________________________</w:t>
        <w:tab/>
      </w:r>
    </w:p>
    <w:p>
      <w:pPr>
        <w:pStyle w:val="Normal"/>
        <w:tabs>
          <w:tab w:val="clear" w:pos="720"/>
          <w:tab w:val="left" w:pos="4320" w:leader="none"/>
        </w:tabs>
        <w:jc w:val="both"/>
        <w:rPr/>
      </w:pPr>
      <w:r>
        <w:rPr/>
      </w:r>
    </w:p>
    <w:p>
      <w:pPr>
        <w:pStyle w:val="Normal"/>
        <w:tabs>
          <w:tab w:val="clear" w:pos="720"/>
          <w:tab w:val="left" w:pos="4320" w:leader="none"/>
        </w:tabs>
        <w:jc w:val="both"/>
        <w:rPr/>
      </w:pPr>
      <w:r>
        <w:rPr/>
        <w:t>Name:  _________________________</w:t>
        <w:tab/>
        <w:t>Name:  _________________________</w:t>
      </w:r>
    </w:p>
    <w:p>
      <w:pPr>
        <w:pStyle w:val="Normal"/>
        <w:tabs>
          <w:tab w:val="clear" w:pos="720"/>
          <w:tab w:val="left" w:pos="4320" w:leader="none"/>
        </w:tabs>
        <w:jc w:val="both"/>
        <w:rPr/>
      </w:pPr>
      <w:r>
        <w:rPr/>
      </w:r>
    </w:p>
    <w:p>
      <w:pPr>
        <w:pStyle w:val="Normal"/>
        <w:tabs>
          <w:tab w:val="clear" w:pos="720"/>
          <w:tab w:val="left" w:pos="4320" w:leader="none"/>
        </w:tabs>
        <w:jc w:val="both"/>
        <w:rPr/>
      </w:pPr>
      <w:r>
        <w:rPr/>
        <w:t>Title:  __________________________</w:t>
        <w:tab/>
        <w:t>Title:  __________________________</w:t>
      </w:r>
    </w:p>
    <w:p>
      <w:pPr>
        <w:pStyle w:val="Normal"/>
        <w:jc w:val="both"/>
        <w:rPr/>
      </w:pPr>
      <w:r>
        <w:rPr/>
      </w:r>
    </w:p>
    <w:p>
      <w:pPr>
        <w:pStyle w:val="Normal"/>
        <w:tabs>
          <w:tab w:val="clear" w:pos="720"/>
          <w:tab w:val="left" w:pos="4320" w:leader="none"/>
        </w:tabs>
        <w:jc w:val="both"/>
        <w:rPr/>
      </w:pPr>
      <w:r>
        <w:rPr/>
      </w:r>
    </w:p>
    <w:p>
      <w:pPr>
        <w:pStyle w:val="Normal"/>
        <w:jc w:val="both"/>
        <w:rPr/>
      </w:pPr>
      <w:r>
        <w:rPr/>
      </w:r>
    </w:p>
    <w:p>
      <w:pPr>
        <w:pStyle w:val="Normal"/>
        <w:jc w:val="both"/>
        <w:rPr/>
      </w:pPr>
      <w:r>
        <w:rPr/>
      </w:r>
      <w:r>
        <w:br w:type="page"/>
      </w:r>
    </w:p>
    <w:p>
      <w:pPr>
        <w:pStyle w:val="Normal"/>
        <w:jc w:val="both"/>
        <w:rPr/>
      </w:pPr>
      <w:r>
        <w:rPr/>
      </w:r>
    </w:p>
    <w:p>
      <w:pPr>
        <w:pStyle w:val="Normal"/>
        <w:jc w:val="both"/>
        <w:rPr/>
      </w:pPr>
      <w:r>
        <w:rPr/>
      </w:r>
    </w:p>
    <w:p>
      <w:pPr>
        <w:pStyle w:val="Normal"/>
        <w:tabs>
          <w:tab w:val="clear" w:pos="720"/>
          <w:tab w:val="right" w:pos="3600" w:leader="none"/>
        </w:tabs>
        <w:jc w:val="center"/>
        <w:rPr>
          <w:b/>
          <w:bCs/>
        </w:rPr>
      </w:pPr>
      <w:r>
        <w:rPr>
          <w:b/>
          <w:bCs/>
        </w:rPr>
        <w:t>SCHEDULE I</w:t>
      </w:r>
    </w:p>
    <w:p>
      <w:pPr>
        <w:pStyle w:val="Normal"/>
        <w:tabs>
          <w:tab w:val="clear" w:pos="720"/>
          <w:tab w:val="right" w:pos="3600" w:leader="none"/>
        </w:tabs>
        <w:jc w:val="center"/>
        <w:rPr>
          <w:b/>
          <w:bCs/>
        </w:rPr>
      </w:pPr>
      <w:r>
        <w:rPr>
          <w:b/>
          <w:bCs/>
        </w:rPr>
      </w:r>
    </w:p>
    <w:p>
      <w:pPr>
        <w:pStyle w:val="BodyText"/>
        <w:rPr/>
      </w:pPr>
      <w:r>
        <w:rPr/>
        <w:t>The Variable Fee shall be determined each quarter in accordance with the tables set forth below.  All fees in the tables have been annualized, therefore, to determine a quarterly fee, such figures shall be divided by four.</w:t>
      </w:r>
    </w:p>
    <w:p>
      <w:pPr>
        <w:pStyle w:val="Normal"/>
        <w:tabs>
          <w:tab w:val="clear" w:pos="720"/>
          <w:tab w:val="right" w:pos="3600" w:leader="none"/>
        </w:tabs>
        <w:rPr/>
      </w:pPr>
      <w:r>
        <w:rPr/>
      </w:r>
    </w:p>
    <w:p>
      <w:pPr>
        <w:pStyle w:val="Normal"/>
        <w:tabs>
          <w:tab w:val="clear" w:pos="720"/>
          <w:tab w:val="right" w:pos="3600" w:leader="none"/>
        </w:tabs>
        <w:rPr/>
      </w:pPr>
      <w:r>
        <w:rPr/>
        <w:t>In the event of an Attrition Rate less than or equal to 10%:</w:t>
      </w:r>
    </w:p>
    <w:p>
      <w:pPr>
        <w:pStyle w:val="Normal"/>
        <w:tabs>
          <w:tab w:val="clear" w:pos="720"/>
          <w:tab w:val="right" w:pos="3600" w:leader="none"/>
        </w:tabs>
        <w:rPr/>
      </w:pPr>
      <w:r>
        <w:rPr/>
      </w:r>
    </w:p>
    <w:tbl>
      <w:tblPr>
        <w:tblW w:w="9576" w:type="dxa"/>
        <w:jc w:val="center"/>
        <w:tblInd w:w="0" w:type="dxa"/>
        <w:tblLayout w:type="fixed"/>
        <w:tblCellMar>
          <w:top w:w="0" w:type="dxa"/>
          <w:start w:w="108" w:type="dxa"/>
          <w:bottom w:w="0" w:type="dxa"/>
          <w:end w:w="108" w:type="dxa"/>
        </w:tblCellMar>
      </w:tblPr>
      <w:tblGrid>
        <w:gridCol w:w="4788"/>
        <w:gridCol w:w="4788"/>
      </w:tblGrid>
      <w:tr>
        <w:trPr>
          <w:tblHeader w:val="true"/>
        </w:trPr>
        <w:tc>
          <w:tcPr>
            <w:tcW w:w="4788" w:type="dxa"/>
            <w:tcBorders>
              <w:top w:val="single" w:sz="4" w:space="0" w:color="000000"/>
              <w:start w:val="single" w:sz="4" w:space="0" w:color="000000"/>
              <w:bottom w:val="single" w:sz="4" w:space="0" w:color="000000"/>
              <w:end w:val="single" w:sz="4" w:space="0" w:color="000000"/>
            </w:tcBorders>
            <w:shd w:fill="A6A6A6" w:val="clear"/>
            <w:vAlign w:val="center"/>
          </w:tcPr>
          <w:p>
            <w:pPr>
              <w:pStyle w:val="Normal"/>
              <w:jc w:val="center"/>
              <w:rPr>
                <w:b/>
                <w:bCs/>
              </w:rPr>
            </w:pPr>
            <w:r>
              <w:rPr>
                <w:b/>
                <w:bCs/>
              </w:rPr>
              <w:t>PUBLICATION</w:t>
            </w:r>
          </w:p>
        </w:tc>
        <w:tc>
          <w:tcPr>
            <w:tcW w:w="4788" w:type="dxa"/>
            <w:tcBorders>
              <w:top w:val="single" w:sz="4" w:space="0" w:color="000000"/>
              <w:start w:val="single" w:sz="4" w:space="0" w:color="000000"/>
              <w:bottom w:val="single" w:sz="4" w:space="0" w:color="000000"/>
              <w:end w:val="single" w:sz="4" w:space="0" w:color="000000"/>
            </w:tcBorders>
            <w:shd w:fill="A6A6A6" w:val="clear"/>
            <w:vAlign w:val="center"/>
          </w:tcPr>
          <w:p>
            <w:pPr>
              <w:pStyle w:val="Normal"/>
              <w:jc w:val="center"/>
              <w:rPr>
                <w:b/>
                <w:bCs/>
              </w:rPr>
            </w:pPr>
            <w:r>
              <w:rPr>
                <w:b/>
                <w:bCs/>
              </w:rPr>
              <w:t>VARIABLE FEE PER USER</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3600" w:leader="none"/>
              </w:tabs>
              <w:snapToGrid w:val="false"/>
              <w:rPr>
                <w:b/>
                <w:bCs/>
              </w:rPr>
            </w:pPr>
            <w:r>
              <w:rPr>
                <w:b/>
                <w:bCs/>
              </w:rPr>
            </w:r>
          </w:p>
        </w:tc>
        <w:tc>
          <w:tcPr>
            <w:tcW w:w="47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3600" w:leader="none"/>
              </w:tabs>
              <w:snapToGrid w:val="false"/>
              <w:rPr/>
            </w:pPr>
            <w:r>
              <w:rPr/>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3600" w:leader="none"/>
              </w:tabs>
              <w:rPr/>
            </w:pPr>
            <w:r>
              <w:rPr/>
              <w:t>Air Daily (“Air”)</w:t>
            </w:r>
          </w:p>
        </w:tc>
        <w:tc>
          <w:tcPr>
            <w:tcW w:w="47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3600" w:leader="none"/>
              </w:tabs>
              <w:jc w:val="center"/>
              <w:rPr/>
            </w:pPr>
            <w:r>
              <w:rPr/>
              <w:t>$523</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3600" w:leader="none"/>
              </w:tabs>
              <w:rPr/>
            </w:pPr>
            <w:r>
              <w:rPr/>
              <w:t xml:space="preserve">Coal Daily (“Coal”) User </w:t>
            </w:r>
          </w:p>
        </w:tc>
        <w:tc>
          <w:tcPr>
            <w:tcW w:w="47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3600" w:leader="none"/>
              </w:tabs>
              <w:jc w:val="center"/>
              <w:rPr/>
            </w:pPr>
            <w:r>
              <w:rPr/>
              <w:t>$523</w:t>
            </w:r>
          </w:p>
        </w:tc>
      </w:tr>
    </w:tbl>
    <w:p>
      <w:pPr>
        <w:pStyle w:val="Normal"/>
        <w:jc w:val="both"/>
        <w:rPr/>
      </w:pPr>
      <w:r>
        <w:rPr/>
      </w:r>
    </w:p>
    <w:p>
      <w:pPr>
        <w:pStyle w:val="Normal"/>
        <w:jc w:val="both"/>
        <w:rPr/>
      </w:pPr>
      <w:r>
        <w:rPr/>
        <w:t>In the event of an Attrition Rate greater than 10% but less than or equal to 20%:</w:t>
      </w:r>
    </w:p>
    <w:p>
      <w:pPr>
        <w:pStyle w:val="Normal"/>
        <w:jc w:val="both"/>
        <w:rPr/>
      </w:pPr>
      <w:r>
        <w:rPr/>
      </w:r>
    </w:p>
    <w:tbl>
      <w:tblPr>
        <w:tblW w:w="9576" w:type="dxa"/>
        <w:jc w:val="center"/>
        <w:tblInd w:w="0" w:type="dxa"/>
        <w:tblLayout w:type="fixed"/>
        <w:tblCellMar>
          <w:top w:w="0" w:type="dxa"/>
          <w:start w:w="108" w:type="dxa"/>
          <w:bottom w:w="0" w:type="dxa"/>
          <w:end w:w="108" w:type="dxa"/>
        </w:tblCellMar>
      </w:tblPr>
      <w:tblGrid>
        <w:gridCol w:w="4788"/>
        <w:gridCol w:w="4788"/>
      </w:tblGrid>
      <w:tr>
        <w:trPr>
          <w:tblHeader w:val="true"/>
        </w:trPr>
        <w:tc>
          <w:tcPr>
            <w:tcW w:w="4788" w:type="dxa"/>
            <w:tcBorders>
              <w:top w:val="single" w:sz="4" w:space="0" w:color="000000"/>
              <w:start w:val="single" w:sz="4" w:space="0" w:color="000000"/>
              <w:bottom w:val="single" w:sz="4" w:space="0" w:color="000000"/>
              <w:end w:val="single" w:sz="4" w:space="0" w:color="000000"/>
            </w:tcBorders>
            <w:shd w:fill="A6A6A6" w:val="clear"/>
            <w:vAlign w:val="center"/>
          </w:tcPr>
          <w:p>
            <w:pPr>
              <w:pStyle w:val="Normal"/>
              <w:jc w:val="center"/>
              <w:rPr>
                <w:b/>
                <w:bCs/>
              </w:rPr>
            </w:pPr>
            <w:r>
              <w:rPr>
                <w:b/>
                <w:bCs/>
              </w:rPr>
              <w:t>PUBLICATION</w:t>
            </w:r>
          </w:p>
        </w:tc>
        <w:tc>
          <w:tcPr>
            <w:tcW w:w="4788" w:type="dxa"/>
            <w:tcBorders>
              <w:top w:val="single" w:sz="4" w:space="0" w:color="000000"/>
              <w:start w:val="single" w:sz="4" w:space="0" w:color="000000"/>
              <w:bottom w:val="single" w:sz="4" w:space="0" w:color="000000"/>
              <w:end w:val="single" w:sz="4" w:space="0" w:color="000000"/>
            </w:tcBorders>
            <w:shd w:fill="A6A6A6" w:val="clear"/>
            <w:vAlign w:val="center"/>
          </w:tcPr>
          <w:p>
            <w:pPr>
              <w:pStyle w:val="Normal"/>
              <w:jc w:val="center"/>
              <w:rPr>
                <w:b/>
                <w:bCs/>
              </w:rPr>
            </w:pPr>
            <w:r>
              <w:rPr>
                <w:b/>
                <w:bCs/>
              </w:rPr>
              <w:t>VARIABLE FEE PER USER</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3600" w:leader="none"/>
              </w:tabs>
              <w:snapToGrid w:val="false"/>
              <w:rPr>
                <w:b/>
                <w:bCs/>
              </w:rPr>
            </w:pPr>
            <w:r>
              <w:rPr>
                <w:b/>
                <w:bCs/>
              </w:rPr>
            </w:r>
          </w:p>
        </w:tc>
        <w:tc>
          <w:tcPr>
            <w:tcW w:w="47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3600" w:leader="none"/>
              </w:tabs>
              <w:snapToGrid w:val="false"/>
              <w:rPr/>
            </w:pPr>
            <w:r>
              <w:rPr/>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3600" w:leader="none"/>
              </w:tabs>
              <w:rPr/>
            </w:pPr>
            <w:r>
              <w:rPr/>
              <w:t xml:space="preserve">Air </w:t>
            </w:r>
          </w:p>
        </w:tc>
        <w:tc>
          <w:tcPr>
            <w:tcW w:w="47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3600" w:leader="none"/>
              </w:tabs>
              <w:jc w:val="center"/>
              <w:rPr/>
            </w:pPr>
            <w:r>
              <w:rPr/>
              <w:t>$598</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3600" w:leader="none"/>
              </w:tabs>
              <w:rPr/>
            </w:pPr>
            <w:r>
              <w:rPr/>
              <w:t>Coal</w:t>
            </w:r>
          </w:p>
        </w:tc>
        <w:tc>
          <w:tcPr>
            <w:tcW w:w="47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3600" w:leader="none"/>
              </w:tabs>
              <w:jc w:val="center"/>
              <w:rPr/>
            </w:pPr>
            <w:r>
              <w:rPr/>
              <w:t>$598</w:t>
            </w:r>
          </w:p>
        </w:tc>
      </w:tr>
    </w:tbl>
    <w:p>
      <w:pPr>
        <w:pStyle w:val="Normal"/>
        <w:jc w:val="both"/>
        <w:rPr/>
      </w:pPr>
      <w:r>
        <w:rPr/>
      </w:r>
    </w:p>
    <w:p>
      <w:pPr>
        <w:pStyle w:val="Normal"/>
        <w:jc w:val="both"/>
        <w:rPr/>
      </w:pPr>
      <w:r>
        <w:rPr/>
        <w:t>In the event of an Attrition Rate greater than 20% but less than or equal to 30%:</w:t>
      </w:r>
    </w:p>
    <w:p>
      <w:pPr>
        <w:pStyle w:val="Normal"/>
        <w:jc w:val="both"/>
        <w:rPr/>
      </w:pPr>
      <w:r>
        <w:rPr/>
      </w:r>
    </w:p>
    <w:tbl>
      <w:tblPr>
        <w:tblW w:w="9576" w:type="dxa"/>
        <w:jc w:val="center"/>
        <w:tblInd w:w="0" w:type="dxa"/>
        <w:tblLayout w:type="fixed"/>
        <w:tblCellMar>
          <w:top w:w="0" w:type="dxa"/>
          <w:start w:w="108" w:type="dxa"/>
          <w:bottom w:w="0" w:type="dxa"/>
          <w:end w:w="108" w:type="dxa"/>
        </w:tblCellMar>
      </w:tblPr>
      <w:tblGrid>
        <w:gridCol w:w="4788"/>
        <w:gridCol w:w="4788"/>
      </w:tblGrid>
      <w:tr>
        <w:trPr>
          <w:tblHeader w:val="true"/>
        </w:trPr>
        <w:tc>
          <w:tcPr>
            <w:tcW w:w="4788" w:type="dxa"/>
            <w:tcBorders>
              <w:top w:val="single" w:sz="4" w:space="0" w:color="000000"/>
              <w:start w:val="single" w:sz="4" w:space="0" w:color="000000"/>
              <w:bottom w:val="single" w:sz="4" w:space="0" w:color="000000"/>
              <w:end w:val="single" w:sz="4" w:space="0" w:color="000000"/>
            </w:tcBorders>
            <w:shd w:fill="A6A6A6" w:val="clear"/>
            <w:vAlign w:val="center"/>
          </w:tcPr>
          <w:p>
            <w:pPr>
              <w:pStyle w:val="Normal"/>
              <w:jc w:val="center"/>
              <w:rPr>
                <w:b/>
                <w:bCs/>
              </w:rPr>
            </w:pPr>
            <w:r>
              <w:rPr>
                <w:b/>
                <w:bCs/>
              </w:rPr>
              <w:t>PUBLICATION</w:t>
            </w:r>
          </w:p>
        </w:tc>
        <w:tc>
          <w:tcPr>
            <w:tcW w:w="4788" w:type="dxa"/>
            <w:tcBorders>
              <w:top w:val="single" w:sz="4" w:space="0" w:color="000000"/>
              <w:start w:val="single" w:sz="4" w:space="0" w:color="000000"/>
              <w:bottom w:val="single" w:sz="4" w:space="0" w:color="000000"/>
              <w:end w:val="single" w:sz="4" w:space="0" w:color="000000"/>
            </w:tcBorders>
            <w:shd w:fill="A6A6A6" w:val="clear"/>
            <w:vAlign w:val="center"/>
          </w:tcPr>
          <w:p>
            <w:pPr>
              <w:pStyle w:val="Normal"/>
              <w:jc w:val="center"/>
              <w:rPr>
                <w:b/>
                <w:bCs/>
              </w:rPr>
            </w:pPr>
            <w:r>
              <w:rPr>
                <w:b/>
                <w:bCs/>
              </w:rPr>
              <w:t>VARIABLE FEE PER USER</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3600" w:leader="none"/>
              </w:tabs>
              <w:snapToGrid w:val="false"/>
              <w:rPr>
                <w:b/>
                <w:bCs/>
              </w:rPr>
            </w:pPr>
            <w:r>
              <w:rPr>
                <w:b/>
                <w:bCs/>
              </w:rPr>
            </w:r>
          </w:p>
        </w:tc>
        <w:tc>
          <w:tcPr>
            <w:tcW w:w="47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3600" w:leader="none"/>
              </w:tabs>
              <w:snapToGrid w:val="false"/>
              <w:rPr/>
            </w:pPr>
            <w:r>
              <w:rPr/>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3600" w:leader="none"/>
              </w:tabs>
              <w:rPr/>
            </w:pPr>
            <w:r>
              <w:rPr/>
              <w:t xml:space="preserve">Air </w:t>
            </w:r>
          </w:p>
        </w:tc>
        <w:tc>
          <w:tcPr>
            <w:tcW w:w="47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3600" w:leader="none"/>
              </w:tabs>
              <w:jc w:val="center"/>
              <w:rPr/>
            </w:pPr>
            <w:r>
              <w:rPr/>
              <w:t>$672</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3600" w:leader="none"/>
              </w:tabs>
              <w:rPr/>
            </w:pPr>
            <w:r>
              <w:rPr/>
              <w:t>Coal</w:t>
            </w:r>
          </w:p>
        </w:tc>
        <w:tc>
          <w:tcPr>
            <w:tcW w:w="47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3600" w:leader="none"/>
              </w:tabs>
              <w:jc w:val="center"/>
              <w:rPr/>
            </w:pPr>
            <w:r>
              <w:rPr/>
              <w:t>$672</w:t>
            </w:r>
          </w:p>
        </w:tc>
      </w:tr>
    </w:tbl>
    <w:p>
      <w:pPr>
        <w:pStyle w:val="Normal"/>
        <w:jc w:val="both"/>
        <w:rPr/>
      </w:pPr>
      <w:r>
        <w:rPr/>
      </w:r>
    </w:p>
    <w:p>
      <w:pPr>
        <w:pStyle w:val="Normal"/>
        <w:jc w:val="both"/>
        <w:rPr/>
      </w:pPr>
      <w:r>
        <w:rPr/>
        <w:t>In the event of an Attrition Rate greater than 30%:</w:t>
      </w:r>
    </w:p>
    <w:p>
      <w:pPr>
        <w:pStyle w:val="Normal"/>
        <w:jc w:val="both"/>
        <w:rPr/>
      </w:pPr>
      <w:r>
        <w:rPr/>
      </w:r>
    </w:p>
    <w:tbl>
      <w:tblPr>
        <w:tblW w:w="9576" w:type="dxa"/>
        <w:jc w:val="center"/>
        <w:tblInd w:w="0" w:type="dxa"/>
        <w:tblLayout w:type="fixed"/>
        <w:tblCellMar>
          <w:top w:w="0" w:type="dxa"/>
          <w:start w:w="108" w:type="dxa"/>
          <w:bottom w:w="0" w:type="dxa"/>
          <w:end w:w="108" w:type="dxa"/>
        </w:tblCellMar>
      </w:tblPr>
      <w:tblGrid>
        <w:gridCol w:w="4788"/>
        <w:gridCol w:w="4788"/>
      </w:tblGrid>
      <w:tr>
        <w:trPr>
          <w:tblHeader w:val="true"/>
        </w:trPr>
        <w:tc>
          <w:tcPr>
            <w:tcW w:w="4788" w:type="dxa"/>
            <w:tcBorders>
              <w:top w:val="single" w:sz="4" w:space="0" w:color="000000"/>
              <w:start w:val="single" w:sz="4" w:space="0" w:color="000000"/>
              <w:bottom w:val="single" w:sz="4" w:space="0" w:color="000000"/>
              <w:end w:val="single" w:sz="4" w:space="0" w:color="000000"/>
            </w:tcBorders>
            <w:shd w:fill="A6A6A6" w:val="clear"/>
            <w:vAlign w:val="center"/>
          </w:tcPr>
          <w:p>
            <w:pPr>
              <w:pStyle w:val="Normal"/>
              <w:jc w:val="center"/>
              <w:rPr>
                <w:b/>
                <w:bCs/>
              </w:rPr>
            </w:pPr>
            <w:r>
              <w:rPr>
                <w:b/>
                <w:bCs/>
              </w:rPr>
              <w:t>PUBLICATION</w:t>
            </w:r>
          </w:p>
        </w:tc>
        <w:tc>
          <w:tcPr>
            <w:tcW w:w="4788" w:type="dxa"/>
            <w:tcBorders>
              <w:top w:val="single" w:sz="4" w:space="0" w:color="000000"/>
              <w:start w:val="single" w:sz="4" w:space="0" w:color="000000"/>
              <w:bottom w:val="single" w:sz="4" w:space="0" w:color="000000"/>
              <w:end w:val="single" w:sz="4" w:space="0" w:color="000000"/>
            </w:tcBorders>
            <w:shd w:fill="A6A6A6" w:val="clear"/>
            <w:vAlign w:val="center"/>
          </w:tcPr>
          <w:p>
            <w:pPr>
              <w:pStyle w:val="Normal"/>
              <w:jc w:val="center"/>
              <w:rPr>
                <w:b/>
                <w:bCs/>
              </w:rPr>
            </w:pPr>
            <w:r>
              <w:rPr>
                <w:b/>
                <w:bCs/>
              </w:rPr>
              <w:t>VARIABLE FEE PER USER</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3600" w:leader="none"/>
              </w:tabs>
              <w:snapToGrid w:val="false"/>
              <w:rPr>
                <w:b/>
                <w:bCs/>
              </w:rPr>
            </w:pPr>
            <w:r>
              <w:rPr>
                <w:b/>
                <w:bCs/>
              </w:rPr>
            </w:r>
          </w:p>
        </w:tc>
        <w:tc>
          <w:tcPr>
            <w:tcW w:w="47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3600" w:leader="none"/>
              </w:tabs>
              <w:snapToGrid w:val="false"/>
              <w:rPr/>
            </w:pPr>
            <w:r>
              <w:rPr/>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3600" w:leader="none"/>
              </w:tabs>
              <w:rPr/>
            </w:pPr>
            <w:r>
              <w:rPr/>
              <w:t>Air</w:t>
            </w:r>
          </w:p>
        </w:tc>
        <w:tc>
          <w:tcPr>
            <w:tcW w:w="47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3600" w:leader="none"/>
              </w:tabs>
              <w:jc w:val="center"/>
              <w:rPr/>
            </w:pPr>
            <w:r>
              <w:rPr/>
              <w:t>$747</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3600" w:leader="none"/>
              </w:tabs>
              <w:rPr/>
            </w:pPr>
            <w:r>
              <w:rPr/>
              <w:t>Coal</w:t>
            </w:r>
          </w:p>
        </w:tc>
        <w:tc>
          <w:tcPr>
            <w:tcW w:w="47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3600" w:leader="none"/>
              </w:tabs>
              <w:jc w:val="center"/>
              <w:rPr/>
            </w:pPr>
            <w:r>
              <w:rPr/>
              <w:t>$747</w:t>
            </w:r>
          </w:p>
        </w:tc>
      </w:tr>
    </w:tbl>
    <w:p>
      <w:pPr>
        <w:pStyle w:val="Normal"/>
        <w:jc w:val="both"/>
        <w:rPr/>
      </w:pPr>
      <w:r>
        <w:rPr/>
      </w:r>
    </w:p>
    <w:sectPr>
      <w:footerReference w:type="default" r:id="rId3"/>
      <w:footerReference w:type="first" r:id="rId4"/>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sz w:val="12"/>
      </w:rPr>
    </w:pPr>
    <w:r>
      <w:rPr>
        <w:sz w:val="12"/>
      </w:rPr>
      <w:fldChar w:fldCharType="begin"/>
    </w:r>
    <w:r>
      <w:rPr>
        <w:sz w:val="12"/>
      </w:rPr>
      <w:instrText xml:space="preserve"> FILENAME \p </w:instrText>
    </w:r>
    <w:r>
      <w:rPr>
        <w:sz w:val="12"/>
      </w:rPr>
      <w:fldChar w:fldCharType="separate"/>
    </w:r>
    <w:r>
      <w:rPr>
        <w:sz w:val="12"/>
      </w:rPr>
      <w:t>/mnt/main-storage/datasets/enron-docs/doc/FIELDSTON_ARGUS_ISA__final11_15_01_.doc</w:t>
    </w:r>
    <w:r>
      <w:rPr>
        <w:sz w:val="12"/>
      </w:rPr>
      <w:fldChar w:fldCharType="end"/>
    </w:r>
    <w:r>
      <mc:AlternateContent>
        <mc:Choice Requires="wps">
          <w:drawing>
            <wp:anchor behindDoc="0" distT="0" distB="0" distL="0" distR="0" simplePos="0" locked="0" layoutInCell="0" allowOverlap="1" relativeHeight="10">
              <wp:simplePos x="0" y="0"/>
              <wp:positionH relativeFrom="margin">
                <wp:align>right</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455.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clear" w:pos="720"/>
        <w:tab w:val="right" w:pos="3600" w:leader="none"/>
      </w:tabs>
      <w:jc w:val="center"/>
      <w:outlineLvl w:val="0"/>
    </w:pPr>
    <w:rPr>
      <w:b/>
      <w:bC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jc w:val="center"/>
    </w:pPr>
    <w:rPr>
      <w:b/>
      <w:bCs/>
      <w:u w:val="single"/>
    </w:rPr>
  </w:style>
  <w:style w:type="paragraph" w:styleId="BodyText">
    <w:name w:val="Body Text"/>
    <w:basedOn w:val="Normal"/>
    <w:pPr>
      <w:tabs>
        <w:tab w:val="clear" w:pos="720"/>
        <w:tab w:val="right" w:pos="360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BodyTextIndent2">
    <w:name w:val="Body Text Indent 2"/>
    <w:basedOn w:val="Normal"/>
    <w:qFormat/>
    <w:pPr>
      <w:ind w:hanging="0" w:start="72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nrononline.com/"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2001-11-15T15:07:00Z</dcterms:created>
  <dc:creator>protmp4</dc:creator>
  <dc:description/>
  <dc:language>en-CA</dc:language>
  <cp:lastModifiedBy>mgreenbe</cp:lastModifiedBy>
  <cp:lastPrinted>2001-10-25T16:24:00Z</cp:lastPrinted>
  <dcterms:modified xsi:type="dcterms:W3CDTF">2001-11-15T15:13:00Z</dcterms:modified>
  <cp:revision>3</cp:revision>
  <dc:subject/>
  <dc:title>INFORMATION SERVICES AGREEMENT</dc:title>
</cp:coreProperties>
</file>