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1999, is made and entered into by and between </w:t>
      </w:r>
      <w:r>
        <w:rPr>
          <w:rFonts w:cs="Times New Roman" w:ascii="Times New Roman" w:hAnsi="Times New Roman"/>
          <w:b/>
          <w:sz w:val="24"/>
        </w:rPr>
        <w:t>Florida Gas Transmission Company</w:t>
      </w:r>
      <w:r>
        <w:rPr>
          <w:rFonts w:cs="Times New Roman" w:ascii="Times New Roman" w:hAnsi="Times New Roman"/>
          <w:sz w:val="24"/>
        </w:rPr>
        <w:t xml:space="preserve">, a Delaware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including the gearbox, excepting the Compressor Motors, owned by Customer to be installed at the Station 13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and drive shaft to the Point of Delivery, owned by Customer and leased by ECS and installed at the Station 13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21,000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3rd Revised Volume No. 1,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Motor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Monthly Contract Quantity</w:t>
      </w:r>
      <w:r>
        <w:rPr>
          <w:rFonts w:cs="Times New Roman" w:ascii="Times New Roman" w:hAnsi="Times New Roman"/>
          <w:sz w:val="24"/>
        </w:rPr>
        <w:t>" shall mean the 21,000 HP-hours per hour multiplied by the number of hours in the applicable month, excluding any hours during which there is an interruption of Shaft Energy delivery by ECS in accordance with Section 2.4 of this Agreement or a Force Majeure event hereunder.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of even date herewith,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"Phase V Expansion Facilities" means Customer's planned mainline capacity increase proposed to be placed into service in the Spring of 2002.</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gearbox which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r>
        <w:rPr>
          <w:rFonts w:cs="Times New Roman" w:ascii="Times New Roman" w:hAnsi="Times New Roman"/>
          <w:b/>
          <w:sz w:val="24"/>
        </w:rPr>
        <w:t>[Need a firm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"Station 13 Electric Compressor Station" means, collectively, (i) the Compressors,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36 inch mainline near Carryville, Florida.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Gulf Power Company.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firm electric energy supply agreement between ECS and Gulf Power Company dated ___________, 1999.</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ECS shall provide to Customer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Utility Power Agreement between ECS and the Utility</w:t>
      </w:r>
      <w:r>
        <w:rPr>
          <w:rFonts w:cs="Times New Roman" w:ascii="Times New Roman" w:hAnsi="Times New Roman"/>
          <w:b/>
          <w:sz w:val="24"/>
        </w:rPr>
        <w:t xml:space="preserve">.  </w:t>
      </w:r>
      <w:r>
        <w:rPr>
          <w:rFonts w:cs="Times New Roman" w:ascii="Times New Roman" w:hAnsi="Times New Roman"/>
          <w:sz w:val="24"/>
        </w:rPr>
        <w:t xml:space="preserve">Such interruptions shall be limited to events of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 Government or any other governmental agency.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Contract Quantity to Customer, Customer agrees to pay ECS an Annual Charge in the amount equal to $1,968,750.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local, state and federal taxes.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(a)</w:t>
        <w:tab/>
        <w:t>The monthly HP-hour Charge shall be equal to 8,150 Btu per HP-hour multiplied by the aggregate amount of Shaft Energy delivered during the second month preceding the month for which the HP-hour Charge is being calculated.</w:t>
      </w:r>
      <w:r>
        <w:rPr>
          <w:rFonts w:cs="Times New Roman" w:ascii="Times New Roman" w:hAnsi="Times New Roman"/>
          <w:b/>
          <w:sz w:val="24"/>
        </w:rPr>
        <w:t xml:space="preserve">  </w:t>
      </w:r>
      <w:r>
        <w:rPr>
          <w:rFonts w:cs="Times New Roman" w:ascii="Times New Roman" w:hAnsi="Times New Roman"/>
          <w:sz w:val="24"/>
        </w:rPr>
        <w:t xml:space="preserve">For example, the monthly HP-hour Charge for May shall be based on the HP-hours delivered in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1.341.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charge by the Utility for power factor correction and/or required to install additional equipment relating to the Compressor Motor to ensure a power factor of at least </w:t>
      </w:r>
      <w:r>
        <w:rPr>
          <w:rFonts w:cs="Times New Roman" w:ascii="Times New Roman" w:hAnsi="Times New Roman"/>
          <w:b/>
          <w:sz w:val="24"/>
        </w:rPr>
        <w:t>[95%],</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6.2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prevent approval of the Phase V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 including, without limitation, all costs and expenses incurred by ECS to unwind the forward sale of  the Fuel Gas to be delivered to ECS hereunder throughout the Term of this Agreement.</w:t>
      </w:r>
    </w:p>
    <w:p>
      <w:pPr>
        <w:pStyle w:val="Normal"/>
        <w:tabs>
          <w:tab w:val="left" w:pos="72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 xml:space="preserve">ECS shall assign to Customer, and Customer shall assume, all of ECS's rights and obligations under the Utility Power Agreement; </w:t>
      </w:r>
    </w:p>
    <w:p>
      <w:pPr>
        <w:pStyle w:val="BodyTextIndent2"/>
        <w:tabs>
          <w:tab w:val="clear" w:pos="1440"/>
        </w:tabs>
        <w:rPr/>
      </w:pPr>
      <w:r>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B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7.4     </w:t>
      </w:r>
      <w:r>
        <w:rPr>
          <w:rFonts w:cs="Times New Roman" w:ascii="Times New Roman" w:hAnsi="Times New Roman"/>
          <w:sz w:val="24"/>
          <w:u w:val="single"/>
        </w:rPr>
        <w:t>Occurrence of Certain Events upon Termination at End of Term</w:t>
      </w:r>
      <w:r>
        <w:rPr>
          <w:rFonts w:cs="Times New Roman" w:ascii="Times New Roman" w:hAnsi="Times New Roman"/>
          <w:sz w:val="24"/>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7.5</w:t>
        <w:tab/>
      </w:r>
      <w:r>
        <w:rPr>
          <w:rFonts w:cs="Times New Roman" w:ascii="Times New Roman" w:hAnsi="Times New Roman"/>
          <w:sz w:val="24"/>
          <w:u w:val="single"/>
        </w:rPr>
        <w:t>ECS Remedies</w:t>
      </w:r>
      <w:r>
        <w:rPr>
          <w:rFonts w:cs="Times New Roman" w:ascii="Times New Roman" w:hAnsi="Times New Roman"/>
          <w:sz w:val="24"/>
        </w:rPr>
        <w:t>. If Customer is the Defaulting Party and ECS terminates this Agreement in accordance with Section 7.2 of this Agreement, (i) Customer shall indemnify and hold ECS harmless with respect to any costs and expenses incurred by ECS in the assignment of the Utility Power Agreement under Section 7.3(a) of this Agreement and (ii) all fixed amounts due to ECS during the term of this Agreement, less all avoidable expenses that ECS would have incurred in performing the Compression Services under this Agreement shall immediately be declared due and payable by Customer to ECS.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NOTWITHSTANDING THE ABOVE, ECS SHALL BE LIABLE TO FGT FOR SUCH DAMAGES BUT TO NO GREATER EXTENT THAN ECS RECEIVES SUCH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9</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9.1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10</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10.11</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sz w:val="24"/>
        </w:rPr>
        <w:t>FLORIDA GAS TRANSMISSION</w:t>
      </w:r>
      <w:r>
        <w:rPr>
          <w:rFonts w:cs="Times New Roman" w:ascii="Times New Roman" w:hAnsi="Times New Roman"/>
          <w:sz w:val="24"/>
        </w:rPr>
        <w:t xml:space="preserv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Customer's in-line transfer point at Customer's Compressor Station #11 - DRN #716.</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A</w:t>
      </w:r>
    </w:p>
    <w:p>
      <w:pPr>
        <w:pStyle w:val="WW-BodyText2"/>
        <w:jc w:val="center"/>
        <w:rPr>
          <w:rFonts w:ascii="Times New Roman" w:hAnsi="Times New Roman" w:cs="Times New Roman"/>
          <w:b/>
        </w:rPr>
      </w:pPr>
      <w:r>
        <w:rPr>
          <w:rFonts w:cs="Times New Roman" w:ascii="Times New Roman" w:hAnsi="Times New Roman"/>
          <w:b/>
        </w:rPr>
        <w:t>PROJECTED HP-hour Charge</w:t>
      </w:r>
    </w:p>
    <w:p>
      <w:pPr>
        <w:pStyle w:val="WW-BodyText2"/>
        <w:jc w:val="start"/>
        <w:rPr>
          <w:rFonts w:ascii="Times New Roman" w:hAnsi="Times New Roman" w:cs="Times New Roman"/>
          <w:b/>
        </w:rPr>
      </w:pPr>
      <w:r>
        <w:rPr>
          <w:rFonts w:cs="Times New Roman" w:ascii="Times New Roman" w:hAnsi="Times New Roman"/>
          <w:b/>
        </w:rPr>
      </w:r>
    </w:p>
    <w:p>
      <w:pPr>
        <w:pStyle w:val="Normal"/>
        <w:tabs>
          <w:tab w:val="clear" w:pos="720"/>
          <w:tab w:val="left" w:pos="2160" w:leader="none"/>
          <w:tab w:val="left" w:pos="3060" w:leader="none"/>
        </w:tabs>
        <w:spacing w:lineRule="atLeast" w:line="240"/>
        <w:rPr>
          <w:rFonts w:ascii="Helv" w:hAnsi="Helv" w:cs="Helv"/>
          <w:color w:val="000000"/>
          <w:lang w:eastAsia="en-US"/>
        </w:rPr>
      </w:pPr>
      <w:r>
        <w:rPr>
          <w:rFonts w:cs="Helv" w:ascii="Helv" w:hAnsi="Helv"/>
          <w:color w:val="000000"/>
          <w:lang w:eastAsia="en-US"/>
        </w:rPr>
        <w:tab/>
      </w:r>
      <w:r>
        <w:rPr>
          <w:rFonts w:cs="Helv" w:ascii="Helv" w:hAnsi="Helv"/>
          <w:b/>
          <w:color w:val="000000"/>
          <w:u w:val="single"/>
          <w:lang w:eastAsia="en-US"/>
        </w:rPr>
        <w:t>Month</w:t>
      </w:r>
      <w:r>
        <w:rPr>
          <w:rFonts w:cs="Helv" w:ascii="Helv" w:hAnsi="Helv"/>
          <w:color w:val="000000"/>
          <w:lang w:eastAsia="en-US"/>
        </w:rPr>
        <w:tab/>
      </w:r>
      <w:r>
        <w:rPr>
          <w:rFonts w:cs="Helv" w:ascii="Helv" w:hAnsi="Helv"/>
          <w:b/>
          <w:color w:val="000000"/>
          <w:u w:val="single"/>
          <w:lang w:eastAsia="en-US"/>
        </w:rPr>
        <w:t>HP-hour Charge (Daily Installment- mmbtus</w:t>
      </w:r>
      <w:r>
        <w:rPr>
          <w:rFonts w:cs="Helv" w:ascii="Helv" w:hAnsi="Helv"/>
          <w:color w:val="000000"/>
          <w:lang w:eastAsia="en-US"/>
        </w:rPr>
        <w:t>)</w:t>
        <w:tab/>
      </w:r>
      <w:r>
        <w:rPr>
          <w:rFonts w:cs="Helv" w:ascii="Helv" w:hAnsi="Helv"/>
          <w:b/>
          <w:color w:val="000000"/>
          <w:u w:val="single"/>
          <w:lang w:eastAsia="en-US"/>
        </w:rPr>
        <w:t>Load Factor</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April</w:t>
        <w:tab/>
        <w:tab/>
        <w:tab/>
        <w:t>3,122</w:t>
        <w:tab/>
        <w:tab/>
        <w:tab/>
        <w:tab/>
        <w:tab/>
        <w:t>76%</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May</w:t>
        <w:tab/>
        <w:tab/>
        <w:tab/>
        <w:t>3,533</w:t>
        <w:tab/>
        <w:tab/>
        <w:tab/>
        <w:tab/>
        <w:tab/>
        <w:t>86%</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June</w:t>
        <w:tab/>
        <w:tab/>
        <w:tab/>
        <w:t>3,902</w:t>
        <w:tab/>
        <w:tab/>
        <w:tab/>
        <w:tab/>
        <w:tab/>
        <w:t>95%</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July</w:t>
        <w:tab/>
        <w:tab/>
        <w:tab/>
        <w:t>3,902</w:t>
        <w:tab/>
        <w:tab/>
        <w:tab/>
        <w:tab/>
        <w:tab/>
        <w:t>95%</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Aug</w:t>
        <w:tab/>
        <w:tab/>
        <w:tab/>
        <w:t>3,902</w:t>
        <w:tab/>
        <w:tab/>
        <w:tab/>
        <w:tab/>
        <w:tab/>
        <w:t>95%</w:t>
      </w:r>
    </w:p>
    <w:p>
      <w:pPr>
        <w:pStyle w:val="Normal"/>
        <w:spacing w:lineRule="atLeast" w:line="240"/>
        <w:ind w:start="2160" w:end="0"/>
        <w:rPr>
          <w:rFonts w:ascii="Helv" w:hAnsi="Helv" w:cs="Helv"/>
          <w:color w:val="000000"/>
          <w:lang w:eastAsia="en-US"/>
        </w:rPr>
      </w:pPr>
      <w:r>
        <w:rPr>
          <w:rFonts w:cs="Helv" w:ascii="Helv" w:hAnsi="Helv"/>
          <w:color w:val="000000"/>
          <w:lang w:eastAsia="en-US"/>
        </w:rPr>
        <w:t>Sept</w:t>
        <w:tab/>
        <w:tab/>
        <w:tab/>
        <w:t>3,533</w:t>
        <w:tab/>
        <w:tab/>
        <w:tab/>
        <w:tab/>
        <w:tab/>
        <w:t>86%</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Oct</w:t>
        <w:tab/>
        <w:tab/>
        <w:tab/>
        <w:t>2,916</w:t>
        <w:tab/>
        <w:tab/>
        <w:tab/>
        <w:tab/>
        <w:tab/>
        <w:t>71%</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Nov</w:t>
        <w:tab/>
        <w:tab/>
        <w:tab/>
        <w:t>2,341</w:t>
        <w:tab/>
        <w:tab/>
        <w:tab/>
        <w:tab/>
        <w:tab/>
        <w:t>57%</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Dec</w:t>
        <w:tab/>
        <w:tab/>
        <w:tab/>
        <w:t>2,341</w:t>
        <w:tab/>
        <w:tab/>
        <w:tab/>
        <w:tab/>
        <w:tab/>
        <w:t>57%</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Jan</w:t>
        <w:tab/>
        <w:tab/>
        <w:tab/>
        <w:t>2,341</w:t>
        <w:tab/>
        <w:tab/>
        <w:tab/>
        <w:tab/>
        <w:tab/>
        <w:t>57%</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Feb</w:t>
        <w:tab/>
        <w:tab/>
        <w:tab/>
        <w:t>2,341</w:t>
        <w:tab/>
        <w:tab/>
        <w:tab/>
        <w:tab/>
        <w:tab/>
        <w:t>57%</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ind w:hanging="0" w:end="0"/>
        <w:rPr>
          <w:rFonts w:ascii="Times New Roman" w:hAnsi="Times New Roman" w:cs="Times New Roman"/>
          <w:sz w:val="20"/>
        </w:rPr>
      </w:pPr>
      <w:r>
        <w:rPr>
          <w:rFonts w:cs="Helv" w:ascii="Helv" w:hAnsi="Helv"/>
          <w:color w:val="000000"/>
          <w:sz w:val="20"/>
          <w:lang w:eastAsia="en-US"/>
        </w:rPr>
        <w:tab/>
        <w:tab/>
        <w:tab/>
        <w:t>March</w:t>
        <w:tab/>
        <w:tab/>
        <w:tab/>
        <w:t>2,341</w:t>
        <w:tab/>
        <w:tab/>
        <w:tab/>
        <w:tab/>
        <w:tab/>
        <w:t>57%</w:t>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FGT_comp_agmt3.doc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FGT_comp_agmt3.doc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FGT_comp_agmt3.doc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FGT_comp_agmt3.doc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10/12/99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10/12/99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10/12/99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10/12/99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1999-10-11T11:55:00Z</dcterms:created>
  <dc:creator>ET&amp;S LAN Support</dc:creator>
  <dc:description/>
  <dc:language>en-CA</dc:language>
  <cp:lastModifiedBy>gnemec</cp:lastModifiedBy>
  <cp:lastPrinted>1999-10-11T16:19:00Z</cp:lastPrinted>
  <dcterms:modified xsi:type="dcterms:W3CDTF">1999-10-12T11:37:00Z</dcterms:modified>
  <cp:revision>63</cp:revision>
  <dc:subject/>
  <dc:title>COMPRESSION SERVICES AGREEMENT</dc:title>
</cp:coreProperties>
</file>