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Stipulation and Recommendation</w:t>
      </w:r>
    </w:p>
    <w:p>
      <w:pPr>
        <w:pStyle w:val="Normal"/>
        <w:jc w:val="end"/>
        <w:rPr/>
      </w:pPr>
      <w:r>
        <w:rPr/>
        <w:t>Attachment 2</w:t>
      </w:r>
    </w:p>
    <w:p>
      <w:pPr>
        <w:pStyle w:val="Normal"/>
        <w:jc w:val="end"/>
        <w:rPr/>
      </w:pPr>
      <w:r>
        <w:rPr/>
      </w:r>
    </w:p>
    <w:p>
      <w:pPr>
        <w:pStyle w:val="Normal"/>
        <w:jc w:val="center"/>
        <w:rPr/>
      </w:pPr>
      <w:r>
        <w:rPr/>
        <w:t>Market Support Pricing</w:t>
      </w:r>
    </w:p>
    <w:p>
      <w:pPr>
        <w:pStyle w:val="Normal"/>
        <w:jc w:val="center"/>
        <w:rPr/>
      </w:pPr>
      <w:r>
        <w:rPr/>
        <w:t>($/Mhr)</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3348"/>
        <w:gridCol w:w="1101"/>
        <w:gridCol w:w="1102"/>
        <w:gridCol w:w="1101"/>
        <w:gridCol w:w="1102"/>
        <w:gridCol w:w="1102"/>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2001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2002</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2003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Ohio Edison</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31.19</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32.98</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33.22</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35.66</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37.69</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30.83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32.89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32.75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34.98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37.19</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26.23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27.73</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27.98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30.04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31.88</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CEI</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31.64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33.46</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33.70</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36.18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38.24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30.83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32.89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32.75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34.97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37.19</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26.23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27.73</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27.98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30.04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31.88</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Toledo Edison</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30.03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31.75</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31.98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34.33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36.28</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30.83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32.89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32.75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34.98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37.19</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26.23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27.73</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27.98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30.04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31.88</w:t>
            </w:r>
          </w:p>
        </w:tc>
      </w:tr>
    </w:tbl>
    <w:p>
      <w:pPr>
        <w:pStyle w:val="Normal"/>
        <w:rPr/>
      </w:pPr>
      <w:r>
        <w:rPr/>
      </w:r>
    </w:p>
    <w:p>
      <w:pPr>
        <w:pStyle w:val="Normal"/>
        <w:rPr/>
      </w:pPr>
      <w:r>
        <w:rPr/>
      </w:r>
    </w:p>
    <w:p>
      <w:pPr>
        <w:pStyle w:val="Normal"/>
        <w:rPr/>
      </w:pPr>
      <w:r>
        <w:rPr/>
      </w:r>
    </w:p>
    <w:p>
      <w:pPr>
        <w:pStyle w:val="Normal"/>
        <w:rPr/>
      </w:pPr>
      <w:r>
        <w:rPr/>
        <w:t>Prices are based on the unconstrained shopping credits proposed by FE in its filing.</w:t>
      </w:r>
      <w:r>
        <w:br w:type="page"/>
      </w:r>
    </w:p>
    <w:p>
      <w:pPr>
        <w:pStyle w:val="Normal"/>
        <w:jc w:val="end"/>
        <w:rPr/>
      </w:pPr>
      <w:r>
        <w:rPr/>
        <w:t>Stipulation and Recommendation</w:t>
      </w:r>
    </w:p>
    <w:p>
      <w:pPr>
        <w:pStyle w:val="Normal"/>
        <w:jc w:val="end"/>
        <w:rPr/>
      </w:pPr>
      <w:r>
        <w:rPr/>
        <w:t>Attachment 3</w:t>
      </w:r>
    </w:p>
    <w:p>
      <w:pPr>
        <w:pStyle w:val="Normal"/>
        <w:jc w:val="end"/>
        <w:rPr/>
      </w:pPr>
      <w:r>
        <w:rPr/>
      </w:r>
    </w:p>
    <w:p>
      <w:pPr>
        <w:pStyle w:val="Normal"/>
        <w:jc w:val="center"/>
        <w:rPr/>
      </w:pPr>
      <w:r>
        <w:rPr/>
        <w:t>Market Support Pricing</w:t>
      </w:r>
    </w:p>
    <w:p>
      <w:pPr>
        <w:pStyle w:val="Normal"/>
        <w:jc w:val="center"/>
        <w:rPr/>
      </w:pPr>
      <w:r>
        <w:rPr/>
        <w:t>Shopping Credits with Incentives</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3348"/>
        <w:gridCol w:w="1101"/>
        <w:gridCol w:w="1102"/>
        <w:gridCol w:w="1101"/>
        <w:gridCol w:w="1102"/>
        <w:gridCol w:w="1102"/>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2001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2002</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2003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2005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Ohio Edison</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45.23</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47.82</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48.17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51.71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54.65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38.54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42.76</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44.21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48.97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53.93</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28.85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33.58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37.55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41.44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CEI</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45.88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48.52</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48.87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52.46</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55.45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38.54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42.76</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44.21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48.97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53.93</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28.85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33.58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37.55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41.44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Toledo Edison</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val="false"/>
              </w:rPr>
            </w:pPr>
            <w:r>
              <w:rPr>
                <w:b w:val="false"/>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43.54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46.04</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46.37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49.78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52.61</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38.54</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42.76</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44.21</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48.97</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53.93</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28.85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31.89</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33.58</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37.55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41.44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Shopping Credit Incentive %</w:t>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Residential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Commercial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35%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40%</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rFonts w:eastAsia="Helvetica"/>
              </w:rPr>
              <w:t xml:space="preserve">  </w:t>
            </w:r>
            <w:r>
              <w:rPr/>
              <w:t>Industrial</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10%</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15%</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25%</w:t>
            </w:r>
          </w:p>
        </w:tc>
        <w:tc>
          <w:tcPr>
            <w:tcW w:w="1102"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r>
    </w:tbl>
    <w:p>
      <w:pPr>
        <w:pStyle w:val="Normal"/>
        <w:rPr/>
      </w:pPr>
      <w:r>
        <w:rPr/>
      </w:r>
    </w:p>
    <w:p>
      <w:pPr>
        <w:pStyle w:val="Normal"/>
        <w:rPr/>
      </w:pPr>
      <w:r>
        <w:rPr/>
      </w:r>
    </w:p>
    <w:p>
      <w:pPr>
        <w:pStyle w:val="Normal"/>
        <w:rPr/>
      </w:pPr>
      <w:r>
        <w:rPr/>
      </w:r>
    </w:p>
    <w:p>
      <w:pPr>
        <w:pStyle w:val="Normal"/>
        <w:rPr/>
      </w:pPr>
      <w:r>
        <w:rPr/>
        <w:t>Prices are based on the unconstrained shopping credits proposed by FE in its Filing plus an incentive % above such levels.  The amount of shopping credit cannot be so great as to reduce the transmission, distribution, ancillary service, tax, universal service, reactive power, or EEF rider charges, and will only increase to the extent shopping levels in any given class, by Company, have not exceeded 20%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2000-04-18T18:15:00Z</dcterms:created>
  <dc:creator>lknight</dc:creator>
  <dc:description/>
  <dc:language>en-CA</dc:language>
  <cp:lastModifiedBy>lknight</cp:lastModifiedBy>
  <cp:lastPrinted>2000-04-18T17:15:00Z</cp:lastPrinted>
  <dcterms:modified xsi:type="dcterms:W3CDTF">2000-04-18T18:56:00Z</dcterms:modified>
  <cp:revision>2</cp:revision>
  <dc:subject/>
  <dc:title>Stipulation and Recommendation</dc:title>
</cp:coreProperties>
</file>