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b/>
          <w:sz w:val="28"/>
        </w:rPr>
      </w:pPr>
      <w:r>
        <w:rPr>
          <w:b/>
          <w:sz w:val="28"/>
        </w:rPr>
        <w:t>UNITED STATES OF AMERICA</w:t>
      </w:r>
    </w:p>
    <w:p>
      <w:pPr>
        <w:pStyle w:val="Normal"/>
        <w:widowControl/>
        <w:jc w:val="center"/>
        <w:rPr>
          <w:b/>
          <w:sz w:val="28"/>
        </w:rPr>
      </w:pPr>
      <w:r>
        <w:rPr>
          <w:b/>
          <w:sz w:val="28"/>
        </w:rPr>
        <w:t>BEFORE THE</w:t>
      </w:r>
    </w:p>
    <w:p>
      <w:pPr>
        <w:pStyle w:val="Normal"/>
        <w:widowControl/>
        <w:jc w:val="center"/>
        <w:rPr>
          <w:b/>
          <w:sz w:val="28"/>
        </w:rPr>
      </w:pPr>
      <w:r>
        <w:rPr>
          <w:b/>
          <w:sz w:val="28"/>
        </w:rPr>
        <w:t>FEDERAL ENERGY REGULATORY COMMISSION</w:t>
      </w:r>
    </w:p>
    <w:p>
      <w:pPr>
        <w:pStyle w:val="Normal"/>
        <w:widowControl/>
        <w:jc w:val="center"/>
        <w:rPr/>
      </w:pPr>
      <w:r>
        <w:rPr/>
      </w:r>
    </w:p>
    <w:p>
      <w:pPr>
        <w:pStyle w:val="Normal"/>
        <w:widowControl/>
        <w:jc w:val="center"/>
        <w:rPr/>
      </w:pPr>
      <w:r>
        <w:rPr/>
      </w:r>
    </w:p>
    <w:p>
      <w:pPr>
        <w:pStyle w:val="Normal"/>
        <w:widowControl/>
        <w:jc w:val="both"/>
        <w:rPr/>
      </w:pPr>
      <w:r>
        <w:rPr/>
        <w:t>__________________________________________</w:t>
      </w:r>
    </w:p>
    <w:p>
      <w:pPr>
        <w:pStyle w:val="Normal"/>
        <w:widowControl/>
        <w:ind w:firstLine="5040" w:end="0"/>
        <w:jc w:val="both"/>
        <w:rPr/>
      </w:pPr>
      <w:r>
        <w:rPr/>
        <w:t>)</w:t>
      </w:r>
    </w:p>
    <w:p>
      <w:pPr>
        <w:pStyle w:val="Normal"/>
        <w:widowControl/>
        <w:tabs>
          <w:tab w:val="clear" w:pos="720"/>
          <w:tab w:val="left" w:pos="-1440" w:leader="none"/>
        </w:tabs>
        <w:ind w:hanging="5760" w:start="5760" w:end="0"/>
        <w:jc w:val="both"/>
        <w:rPr/>
      </w:pPr>
      <w:r>
        <w:rPr/>
        <w:t>California Independent System Operator</w:t>
        <w:tab/>
        <w:tab/>
        <w:t>)</w:t>
        <w:tab/>
        <w:t>Docket No. ER98-3760-000</w:t>
      </w:r>
    </w:p>
    <w:p>
      <w:pPr>
        <w:pStyle w:val="Normal"/>
        <w:widowControl/>
        <w:tabs>
          <w:tab w:val="clear" w:pos="720"/>
          <w:tab w:val="left" w:pos="-1440" w:leader="none"/>
        </w:tabs>
        <w:ind w:hanging="4320" w:start="5040" w:end="0"/>
        <w:jc w:val="both"/>
        <w:rPr/>
      </w:pPr>
      <w:r>
        <w:rPr/>
        <w:t>Corporation</w:t>
        <w:tab/>
        <w:tab/>
        <w:tab/>
        <w:tab/>
        <w:tab/>
        <w:t>)</w:t>
      </w:r>
    </w:p>
    <w:p>
      <w:pPr>
        <w:pStyle w:val="Normal"/>
        <w:widowControl/>
        <w:ind w:firstLine="5040" w:end="0"/>
        <w:jc w:val="both"/>
        <w:rPr/>
      </w:pPr>
      <w:r>
        <w:rPr/>
        <w:t>)</w:t>
      </w:r>
    </w:p>
    <w:p>
      <w:pPr>
        <w:pStyle w:val="Normal"/>
        <w:widowControl/>
        <w:tabs>
          <w:tab w:val="clear" w:pos="720"/>
          <w:tab w:val="left" w:pos="-1440" w:leader="none"/>
        </w:tabs>
        <w:ind w:hanging="5760" w:start="5760" w:end="0"/>
        <w:jc w:val="both"/>
        <w:rPr/>
      </w:pPr>
      <w:r>
        <w:rPr/>
        <w:t>California Independent System Operator</w:t>
        <w:tab/>
        <w:tab/>
        <w:t>)</w:t>
        <w:tab/>
        <w:t>Docket Nos. EC96-19-000, and</w:t>
      </w:r>
    </w:p>
    <w:p>
      <w:pPr>
        <w:pStyle w:val="Normal"/>
        <w:widowControl/>
        <w:tabs>
          <w:tab w:val="clear" w:pos="720"/>
          <w:tab w:val="left" w:pos="-1440" w:leader="none"/>
        </w:tabs>
        <w:ind w:hanging="5760" w:start="6480" w:end="0"/>
        <w:jc w:val="both"/>
        <w:rPr/>
      </w:pPr>
      <w:r>
        <w:rPr/>
        <w:t>Corporation</w:t>
        <w:tab/>
        <w:tab/>
        <w:tab/>
        <w:tab/>
        <w:tab/>
        <w:t>)</w:t>
        <w:tab/>
        <w:tab/>
        <w:t>ER96-1663-000</w:t>
      </w:r>
    </w:p>
    <w:p>
      <w:pPr>
        <w:pStyle w:val="Normal"/>
        <w:widowControl/>
        <w:tabs>
          <w:tab w:val="clear" w:pos="720"/>
          <w:tab w:val="left" w:pos="-1440" w:leader="none"/>
        </w:tabs>
        <w:ind w:hanging="1440" w:start="6480" w:end="0"/>
        <w:jc w:val="both"/>
        <w:rPr/>
      </w:pPr>
      <w:r>
        <w:rPr/>
        <w:t>)</w:t>
        <w:tab/>
        <w:tab/>
        <w:t>(not consolidated)</w:t>
      </w:r>
    </w:p>
    <w:p>
      <w:pPr>
        <w:pStyle w:val="Normal"/>
        <w:widowControl/>
        <w:jc w:val="both"/>
        <w:rPr/>
      </w:pPr>
      <w:r>
        <w:rPr/>
        <w:t>__________________________________________)</w:t>
      </w:r>
    </w:p>
    <w:p>
      <w:pPr>
        <w:pStyle w:val="Normal"/>
        <w:widowControl/>
        <w:jc w:val="both"/>
        <w:rPr/>
      </w:pPr>
      <w:r>
        <w:rPr/>
      </w:r>
    </w:p>
    <w:p>
      <w:pPr>
        <w:pStyle w:val="Normal"/>
        <w:widowControl/>
        <w:jc w:val="both"/>
        <w:rPr/>
      </w:pPr>
      <w:r>
        <w:rPr/>
      </w:r>
    </w:p>
    <w:p>
      <w:pPr>
        <w:pStyle w:val="Normal"/>
        <w:widowControl/>
        <w:jc w:val="center"/>
        <w:rPr>
          <w:b/>
        </w:rPr>
      </w:pPr>
      <w:r>
        <w:rPr>
          <w:b/>
          <w:sz w:val="28"/>
        </w:rPr>
        <w:t>JOINT INITIAL BRIEF OF</w:t>
      </w:r>
    </w:p>
    <w:p>
      <w:pPr>
        <w:pStyle w:val="Normal"/>
        <w:widowControl/>
        <w:jc w:val="center"/>
        <w:rPr>
          <w:b/>
          <w:sz w:val="28"/>
        </w:rPr>
      </w:pPr>
      <w:r>
        <w:rPr>
          <w:b/>
          <w:sz w:val="28"/>
        </w:rPr>
        <w:t>THE WESTERN POWER TRADING FORUM,</w:t>
      </w:r>
    </w:p>
    <w:p>
      <w:pPr>
        <w:pStyle w:val="Normal"/>
        <w:widowControl/>
        <w:jc w:val="center"/>
        <w:rPr>
          <w:b/>
          <w:sz w:val="28"/>
        </w:rPr>
      </w:pPr>
      <w:r>
        <w:rPr>
          <w:b/>
          <w:sz w:val="28"/>
        </w:rPr>
        <w:t>ENRON POWER MARKETING, INC.</w:t>
      </w:r>
    </w:p>
    <w:p>
      <w:pPr>
        <w:pStyle w:val="Normal"/>
        <w:widowControl/>
        <w:jc w:val="center"/>
        <w:rPr>
          <w:b/>
          <w:sz w:val="28"/>
        </w:rPr>
      </w:pPr>
      <w:r>
        <w:rPr>
          <w:b/>
          <w:sz w:val="28"/>
        </w:rPr>
        <w:t>AND DYNEGY POWER MARKETING, INC.</w:t>
      </w:r>
    </w:p>
    <w:p>
      <w:pPr>
        <w:pStyle w:val="Normal"/>
        <w:widowControl/>
        <w:jc w:val="center"/>
        <w:rPr>
          <w:b/>
          <w:sz w:val="28"/>
        </w:rPr>
      </w:pPr>
      <w:r>
        <w:rPr>
          <w:b/>
          <w:sz w:val="28"/>
        </w:rPr>
        <w:t>ON MARKET MONITORING ISSUES</w:t>
      </w:r>
    </w:p>
    <w:p>
      <w:pPr>
        <w:pStyle w:val="Normal"/>
        <w:widowControl/>
        <w:jc w:val="center"/>
        <w:rPr/>
      </w:pPr>
      <w:r>
        <w:rPr/>
      </w:r>
    </w:p>
    <w:p>
      <w:pPr>
        <w:pStyle w:val="Normal"/>
        <w:widowControl/>
        <w:spacing w:lineRule="auto" w:line="480"/>
        <w:ind w:firstLine="720" w:end="0"/>
        <w:jc w:val="both"/>
        <w:rPr/>
      </w:pPr>
      <w:r>
        <w:rPr/>
        <w:t xml:space="preserve">Pursuant to the Commission’s order issued April 28, 1999, </w:t>
      </w:r>
      <w:r>
        <w:rPr>
          <w:i/>
        </w:rPr>
        <w:t>California Independent System Operator Corporation</w:t>
      </w:r>
      <w:r>
        <w:rPr/>
        <w:t>, 87 FERC ¶ 61,102, the Western Power Trading Forum (collectively and on behalf of its individual members), Enron Power Marketing, Inc. and Dynegy Power Marketing, Inc. (collectively referred to as “Joint Commenters”) submit their joint initial brief on market monitoring issues.  These issues are set forth in Section II.D.1-4 of the Joint Statement of Issues filed by the  California Independent System Operator Corporation (“CAISO”) on January 4, 2000.</w:t>
      </w:r>
    </w:p>
    <w:p>
      <w:pPr>
        <w:pStyle w:val="Normal"/>
        <w:widowControl/>
        <w:jc w:val="center"/>
        <w:rPr>
          <w:b/>
          <w:sz w:val="28"/>
        </w:rPr>
      </w:pPr>
      <w:r>
        <w:rPr>
          <w:b/>
          <w:sz w:val="28"/>
        </w:rPr>
        <w:t>I.</w:t>
      </w:r>
    </w:p>
    <w:p>
      <w:pPr>
        <w:pStyle w:val="Normal"/>
        <w:widowControl/>
        <w:jc w:val="center"/>
        <w:rPr/>
      </w:pPr>
      <w:r>
        <w:rPr>
          <w:b/>
          <w:sz w:val="28"/>
        </w:rPr>
        <w:t>EXECUTIVE SUMMARY</w:t>
      </w:r>
      <w:r>
        <w:fldChar w:fldCharType="begin"/>
      </w:r>
      <w:r>
        <w:rPr/>
        <w:instrText xml:space="preserve"> TC "I.EXECUTIVE SUMMARY" \l 1 </w:instrText>
      </w:r>
      <w:r>
        <w:rPr/>
        <w:fldChar w:fldCharType="separate"/>
      </w:r>
      <w:r>
        <w:rPr/>
      </w:r>
      <w:r>
        <w:rPr/>
        <w:fldChar w:fldCharType="end"/>
      </w:r>
    </w:p>
    <w:p>
      <w:pPr>
        <w:pStyle w:val="Normal"/>
        <w:widowControl/>
        <w:jc w:val="center"/>
        <w:rPr/>
      </w:pPr>
      <w:r>
        <w:rPr/>
      </w:r>
    </w:p>
    <w:p>
      <w:pPr>
        <w:sectPr>
          <w:type w:val="nextPage"/>
          <w:pgSz w:w="12240" w:h="15840"/>
          <w:pgMar w:left="1440" w:right="1440" w:gutter="0" w:header="0" w:top="1440" w:footer="0" w:bottom="576"/>
          <w:pgNumType w:fmt="decimal"/>
          <w:formProt w:val="false"/>
          <w:textDirection w:val="lrTb"/>
          <w:docGrid w:type="default" w:linePitch="360" w:charSpace="0"/>
        </w:sectPr>
      </w:pPr>
    </w:p>
    <w:p>
      <w:pPr>
        <w:pStyle w:val="Normal"/>
        <w:widowControl/>
        <w:spacing w:lineRule="auto" w:line="480"/>
        <w:ind w:firstLine="720" w:end="0"/>
        <w:jc w:val="both"/>
        <w:rPr/>
      </w:pPr>
      <w:r>
        <w:rPr/>
        <w:t>Pursuant to its Market Monitoring and Information Protocol (“MMIP”), the CAISO is presently authorized to perform a vigorous market monitoring and enforcement function.  The provisions of the MMIP that allow the CAISO to enforce market rules and impose sanctions (including related functions such as mandatory information gathering and the publication of the results of its investigations prior to Commission review and affirmance) should be rejected by the Commission because it is bad public policy and contrary to established anti-delegation standards to allow non-governmental third-parties like the CAISO to police the market.  As we shall show, the CAISO has incentives to blame others for market inefficiencies in order to deflect blame for market failures from itself.   The CAISO has an inherent conflict of interest and its objectivity will always be open to question.</w:t>
      </w:r>
    </w:p>
    <w:p>
      <w:pPr>
        <w:pStyle w:val="Normal"/>
        <w:widowControl/>
        <w:spacing w:lineRule="auto" w:line="480"/>
        <w:ind w:firstLine="720" w:end="0"/>
        <w:jc w:val="both"/>
        <w:rPr/>
      </w:pPr>
      <w:r>
        <w:rPr/>
        <w:t xml:space="preserve">Even though the CAISO is not a "market participant" in the traditional sense, it is, in a very real sense a market participant.  It operates and controls virtually the entire Ancillary Services market in California and its protocols have the effect of dissuading market participants from making Ancillary Services arrangements outside the ISO.  The ISO has close to 100 percent market share of the Ancillary Services market and has incentives to keep its market share as high as possible.  While the ISO's incentives may not be the same as the incentives of traditional utilities, they are incentives nonetheless that ensure that it cannot be considered to be an unbiased market observer or regulator.  The ISO is also a designer of the market, and bears costs from the market.  As an active participant in the market, it is thus inherently improper to allow the CAISO to police the activities of other market participants.  Yet, this is precisely what the MMIP allows. </w:t>
      </w:r>
    </w:p>
    <w:p>
      <w:pPr>
        <w:sectPr>
          <w:type w:val="continuous"/>
          <w:pgSz w:w="12240" w:h="15840"/>
          <w:pgMar w:left="1440" w:right="1440" w:gutter="0" w:header="0" w:top="1440" w:footer="0" w:bottom="576"/>
          <w:formProt w:val="false"/>
          <w:textDirection w:val="lrTb"/>
          <w:docGrid w:type="default" w:linePitch="360" w:charSpace="0"/>
        </w:sectPr>
      </w:pPr>
    </w:p>
    <w:p>
      <w:pPr>
        <w:pStyle w:val="Normal"/>
        <w:widowControl/>
        <w:spacing w:lineRule="auto" w:line="480"/>
        <w:ind w:firstLine="720" w:end="0"/>
        <w:jc w:val="both"/>
        <w:rPr/>
      </w:pPr>
      <w:r>
        <w:rPr/>
        <w:t>Allowing the CAISO to perform a market surveillance and enforcement function is also founded on a fallacious premise.  Specifically, the CAISO's market enforcement responsibilities are premised on the belief that  most market disputes will be between two (or more) market participants, and that the CAISO will typically be a neutral arbiter of disputes.  In fact, most disputes are between the CAISO itself and a market participant.  It is obviously unfair to allow the CAISO to investigate perceived market anomalies, compel discovery, issue findings, and impose sanctions (all without any exposure for its own investigative malfeasance under MMIP 4.8) against market participants when the participant is the accused entity, but not allow a market participant any of the same rights when it is the behavior of the CAISO that is the subject of the market anomaly.</w:t>
      </w:r>
    </w:p>
    <w:p>
      <w:pPr>
        <w:pStyle w:val="Normal"/>
        <w:widowControl/>
        <w:spacing w:lineRule="auto" w:line="480"/>
        <w:ind w:firstLine="720" w:end="0"/>
        <w:jc w:val="both"/>
        <w:rPr/>
      </w:pPr>
      <w:r>
        <w:rPr/>
        <w:t>At bottom, as the Commission repeatedly ordered in its recent Order No. 637 dealing with market issues in the natural gas industry,</w:t>
      </w:r>
      <w:r>
        <w:rPr>
          <w:rStyle w:val="FootnoteCharacters"/>
          <w:rStyle w:val="FootnoteReference"/>
          <w:vertAlign w:val="superscript"/>
        </w:rPr>
        <w:footnoteReference w:id="2"/>
      </w:r>
      <w:r>
        <w:rPr/>
        <w:t xml:space="preserve"> market enforcement is a regulatory function that is best performed by public servants, not private sector utility operators, including ISOs, who are subject to the profit motivation  or who have other internal bureaucratic incentives.  For example, if the ISO staff’s performance awards are based on cutting down the average price of Regulation, they could do this by influencing  the market structure and rules to reduce the price of Regulation while increasing the price of Spinning Reserves.  Policing the market is, therefore, peculiarly a function that should be performed by the governmental body that has been entrusted by Congress to regulate a given industry, in this case, the Commission.  </w:t>
      </w:r>
    </w:p>
    <w:p>
      <w:pPr>
        <w:pStyle w:val="Normal"/>
        <w:widowControl/>
        <w:spacing w:lineRule="auto" w:line="480"/>
        <w:ind w:firstLine="720" w:end="0"/>
        <w:jc w:val="both"/>
        <w:rPr/>
      </w:pPr>
      <w:r>
        <w:rPr/>
        <w:t xml:space="preserve">The Commission has in fact recently recognized the problems with allowing ISOs to perform market monitoring functions in a proceeding involving the New York Independent System Operator Corporation ("NYISO").  There, the Commission dramatically scaled-back the NYISO's monitoring proposal and stated that it would revisit its earlier rulings in California in light of its rulings therein.  </w:t>
      </w:r>
      <w:r>
        <w:rPr>
          <w:i/>
        </w:rPr>
        <w:t>New York Independent System Operator Corp.</w:t>
      </w:r>
      <w:r>
        <w:rPr/>
        <w:t>, 89 FERC ¶ 61,196, at 61,605 (1999) (“</w:t>
      </w:r>
      <w:r>
        <w:rPr>
          <w:i/>
        </w:rPr>
        <w:t>NYISO</w:t>
      </w:r>
      <w:r>
        <w:rPr/>
        <w:t>”) (referring specifically to the CAISO and NEPOOL).  The instant proceeding affords the Commission with an ideal forum to conduct that review.</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spacing w:lineRule="auto" w:line="480"/>
        <w:ind w:firstLine="720" w:end="0"/>
        <w:jc w:val="both"/>
        <w:rPr/>
      </w:pPr>
      <w:r>
        <w:rPr/>
        <w:t xml:space="preserve">Beyond the foregoing policy reasons, the Commission may not, as a matter of law, delegate the market enforcement functions vested to it under the Federal Power Act to third-parties like the CAISO.  </w:t>
      </w:r>
      <w:r>
        <w:rPr>
          <w:i/>
        </w:rPr>
        <w:t>Perot v. FEC</w:t>
      </w:r>
      <w:r>
        <w:rPr/>
        <w:t xml:space="preserve">, 97 F.3d 553 (D.C. 1996).  Thus, much of the MMIP is illegal and must be rejected.  The Commission has no discretion to do otherwise. </w:t>
      </w:r>
    </w:p>
    <w:p>
      <w:pPr>
        <w:pStyle w:val="Normal"/>
        <w:widowControl/>
        <w:jc w:val="center"/>
        <w:rPr>
          <w:b/>
          <w:sz w:val="28"/>
        </w:rPr>
      </w:pPr>
      <w:r>
        <w:rPr>
          <w:b/>
          <w:sz w:val="28"/>
        </w:rPr>
        <w:t>II.</w:t>
      </w:r>
    </w:p>
    <w:p>
      <w:pPr>
        <w:pStyle w:val="Normal"/>
        <w:widowControl/>
        <w:jc w:val="center"/>
        <w:rPr>
          <w:sz w:val="26"/>
        </w:rPr>
      </w:pPr>
      <w:r>
        <w:rPr>
          <w:b/>
          <w:sz w:val="28"/>
        </w:rPr>
        <w:t>ARGUMENT</w:t>
      </w:r>
      <w:r>
        <w:fldChar w:fldCharType="begin"/>
      </w:r>
      <w:r>
        <w:rPr/>
        <w:instrText xml:space="preserve"> TC "II.ARGUMENT" \l 1 </w:instrText>
      </w:r>
      <w:r>
        <w:rPr/>
        <w:fldChar w:fldCharType="separate"/>
      </w:r>
      <w:r>
        <w:rPr/>
      </w:r>
      <w:r>
        <w:rPr/>
        <w:fldChar w:fldCharType="end"/>
      </w:r>
    </w:p>
    <w:p>
      <w:pPr>
        <w:pStyle w:val="Normal"/>
        <w:widowControl/>
        <w:jc w:val="center"/>
        <w:rPr>
          <w:sz w:val="26"/>
        </w:rPr>
      </w:pPr>
      <w:r>
        <w:rPr>
          <w:sz w:val="26"/>
        </w:rPr>
      </w:r>
    </w:p>
    <w:p>
      <w:pPr>
        <w:pStyle w:val="Normal"/>
        <w:widowControl/>
        <w:tabs>
          <w:tab w:val="clear" w:pos="720"/>
          <w:tab w:val="left" w:pos="-1440" w:leader="none"/>
        </w:tabs>
        <w:spacing w:lineRule="auto" w:line="480"/>
        <w:ind w:hanging="720" w:start="720" w:end="0"/>
        <w:jc w:val="both"/>
        <w:rPr/>
      </w:pPr>
      <w:r>
        <w:rPr>
          <w:b/>
          <w:sz w:val="26"/>
        </w:rPr>
        <w:t>II.D</w:t>
        <w:tab/>
        <w:t>MARKET MONITORING</w:t>
      </w:r>
      <w:r>
        <w:fldChar w:fldCharType="begin"/>
      </w:r>
      <w:r>
        <w:rPr/>
        <w:instrText xml:space="preserve"> TC "II.D</w:instrText>
        <w:tab/>
        <w:instrText xml:space="preserve">MARKET MONITORING" \l 2 </w:instrText>
      </w:r>
      <w:r>
        <w:rPr/>
        <w:fldChar w:fldCharType="separate"/>
      </w:r>
      <w:r>
        <w:rPr/>
      </w:r>
      <w:r>
        <w:rPr/>
        <w:fldChar w:fldCharType="end"/>
      </w:r>
    </w:p>
    <w:p>
      <w:pPr>
        <w:pStyle w:val="Normal"/>
        <w:widowControl/>
        <w:spacing w:lineRule="auto" w:line="480"/>
        <w:ind w:firstLine="720" w:end="0"/>
        <w:jc w:val="both"/>
        <w:rPr/>
      </w:pPr>
      <w:r>
        <w:rPr/>
        <w:t xml:space="preserve">In the Phase II filing in Docket Nos. EC96-19-001, </w:t>
      </w:r>
      <w:r>
        <w:rPr>
          <w:i/>
        </w:rPr>
        <w:t>et al.</w:t>
      </w:r>
      <w:r>
        <w:rPr/>
        <w:t>, submitted August 15, 1997, the Trustee for the CAISO and Cal PX proposed to include in the CAISO’s and Cal PX’s tariffs  comprehensive market monitoring plans known as the Market Monitoring and Information Protocol (“MMIP”).  Under the MMIP, the CAISO is given the right to investigate “anomalous market behavior,” “gaming” and the like, to require market participants to comply with its informational demands, to make findings when it believes that market participants have engaged in improper market behavior, to publish the results of its findings, and to impose sanctions and penalties related to such findings that it believes necessary.  Although the Commission tentatively accepted the MMIP, as modified, it rejected the provisions of the MMIP that gave the CAISO the right to impose sanctions and penalties, accepting the remaining provisions of the MMIP subject to refund and the outcome of this proceeding.</w:t>
      </w:r>
      <w:r>
        <w:rPr>
          <w:rStyle w:val="FootnoteCharacters"/>
          <w:rStyle w:val="FootnoteReference"/>
          <w:vertAlign w:val="superscript"/>
        </w:rPr>
        <w:footnoteReference w:id="3"/>
      </w:r>
      <w:r>
        <w:rPr/>
        <w:t xml:space="preserve">  </w:t>
      </w:r>
      <w:r>
        <w:rPr>
          <w:i/>
        </w:rPr>
        <w:t>Pacific Gas and Electric Co., et al.</w:t>
      </w:r>
      <w:r>
        <w:rPr/>
        <w:t>, 81 FERC ¶ 61,122, at 61,553 (1997) ("</w:t>
      </w:r>
      <w:r>
        <w:rPr>
          <w:i/>
        </w:rPr>
        <w:t>PG&amp;E</w:t>
      </w:r>
      <w:r>
        <w:rPr/>
        <w:t xml:space="preserve">"), </w:t>
      </w:r>
      <w:r>
        <w:rPr>
          <w:i/>
        </w:rPr>
        <w:t>reh'g denied</w:t>
      </w:r>
      <w:r>
        <w:rPr/>
        <w:t xml:space="preserve">, 82 FERC ¶ 61,223 (1998), </w:t>
      </w:r>
      <w:r>
        <w:rPr>
          <w:i/>
        </w:rPr>
        <w:t>aff'd</w:t>
      </w:r>
      <w:r>
        <w:rPr/>
        <w:t>, 83 FERC ¶ 61,033 (1998).</w:t>
      </w:r>
    </w:p>
    <w:p>
      <w:pPr>
        <w:pStyle w:val="Normal"/>
        <w:widowControl/>
        <w:spacing w:lineRule="auto" w:line="480"/>
        <w:ind w:firstLine="720" w:end="0"/>
        <w:jc w:val="both"/>
        <w:rPr>
          <w:sz w:val="26"/>
        </w:rPr>
      </w:pPr>
      <w:r>
        <w:rPr/>
        <w:t>For the following reasons, the MMIP should be rejected to the extent that it allows the CAISO (or its market monitoring units) to perform any function beyond gathering facts on a voluntary basis (inclusive of due process protections for market participants) and reporting the results of its information-gathering to the Commission under seal.</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keepNext w:val="true"/>
        <w:keepLines/>
        <w:widowControl/>
        <w:tabs>
          <w:tab w:val="clear" w:pos="720"/>
          <w:tab w:val="left" w:pos="-1440" w:leader="none"/>
        </w:tabs>
        <w:ind w:hanging="1440" w:start="1440" w:end="0"/>
        <w:jc w:val="both"/>
        <w:rPr/>
      </w:pPr>
      <w:r>
        <w:rPr>
          <w:b/>
          <w:sz w:val="26"/>
        </w:rPr>
        <w:t>II.D.1</w:t>
        <w:tab/>
        <w:tab/>
        <w:t>Whether the ISO’s role in market monitoring should be limited to data collection and monitoring only, but should not include an enforcement or police function? (Issue No. 631)</w:t>
      </w:r>
      <w:r>
        <w:fldChar w:fldCharType="begin"/>
      </w:r>
      <w:r>
        <w:rPr/>
        <w:instrText xml:space="preserve"> TC "II.D.1</w:instrText>
        <w:tab/>
        <w:instrText xml:space="preserve"/>
        <w:tab/>
        <w:instrText xml:space="preserve">Whether the ISO’s role in market monitoring should be limited to data collection and monitoring only, but should not include an enforcement or police function? (Issue No. 631)" \l 2 </w:instrText>
      </w:r>
      <w:r>
        <w:rPr/>
        <w:fldChar w:fldCharType="separate"/>
      </w:r>
      <w:r>
        <w:rPr/>
      </w:r>
      <w:r>
        <w:rPr/>
        <w:fldChar w:fldCharType="end"/>
      </w:r>
    </w:p>
    <w:p>
      <w:pPr>
        <w:pStyle w:val="Normal"/>
        <w:keepNext w:val="true"/>
        <w:keepLines/>
        <w:widowControl/>
        <w:jc w:val="both"/>
        <w:rPr/>
      </w:pPr>
      <w:r>
        <w:rPr/>
      </w:r>
    </w:p>
    <w:p>
      <w:pPr>
        <w:pStyle w:val="Normal"/>
        <w:keepLines/>
        <w:widowControl/>
        <w:spacing w:lineRule="auto" w:line="480"/>
        <w:ind w:firstLine="720" w:end="0"/>
        <w:jc w:val="both"/>
        <w:rPr/>
      </w:pPr>
      <w:r>
        <w:rPr/>
        <w:t xml:space="preserve">Section 1.1 of the MMIP makes clear that the objective of the protocol is to identify and provide for the protection from abuses of market power pursuant to  monitoring activities carried out by the ISO Market Surveillance Unit (“MSU”) and the ISO Market Surveillance Committee (“MSC”).  While virtually every section of the MMIP needs to be modified, if not eliminated, in order to bring the protocol into compliance with the Commission's policy on market monitoring set forth in </w:t>
      </w:r>
      <w:r>
        <w:rPr>
          <w:i/>
        </w:rPr>
        <w:t>NYISO</w:t>
      </w:r>
      <w:r>
        <w:rPr/>
        <w:t>, as well as the anti-delegation principles discussed below, the following sections set forth the most egregious provisions of the MMIP pursuant to which the CAISO, by and through the MSU and MSC, is engaging in unlawful activities:</w:t>
      </w:r>
    </w:p>
    <w:p>
      <w:pPr>
        <w:pStyle w:val="Normal"/>
        <w:widowControl/>
        <w:ind w:start="720" w:end="0"/>
        <w:jc w:val="both"/>
        <w:rPr/>
      </w:pPr>
      <w:r>
        <w:rPr>
          <w:u w:val="single"/>
        </w:rPr>
        <w:t>Section 2.1.1 -- Anomalous Market Behavior.</w:t>
      </w:r>
      <w:r>
        <w:rPr/>
        <w:t xml:space="preserve">  The MSU shall monitor the activities of market participants and will take such further action as it considers necessary to guard against “anomalous market behavior,” which is defined as behavior that departs significantly from the normal behavior in competitive markets.</w:t>
      </w:r>
    </w:p>
    <w:p>
      <w:pPr>
        <w:pStyle w:val="Normal"/>
        <w:widowControl/>
        <w:jc w:val="both"/>
        <w:rPr/>
      </w:pPr>
      <w:r>
        <w:rPr/>
      </w:r>
    </w:p>
    <w:p>
      <w:pPr>
        <w:pStyle w:val="Normal"/>
        <w:widowControl/>
        <w:ind w:start="720" w:end="0"/>
        <w:jc w:val="both"/>
        <w:rPr/>
      </w:pPr>
      <w:r>
        <w:rPr>
          <w:u w:val="single"/>
        </w:rPr>
        <w:t>Section 2.1.3 – Gaming.</w:t>
      </w:r>
      <w:r>
        <w:rPr/>
        <w:t xml:space="preserve">  The MSU shall monitor the activities of market participants and will take such further action as it considers necessary to guard against “gaming,” or taking unfair advantage of the rules and procedures set forth in the Cal PX or CAISO tariffs and protocols.  Gaming is loosely defined as activities that take undue advantage of conditions that </w:t>
      </w:r>
      <w:r>
        <w:rPr>
          <w:u w:val="single"/>
        </w:rPr>
        <w:t>may</w:t>
      </w:r>
      <w:r>
        <w:rPr/>
        <w:t xml:space="preserve"> affect the availability of transmission and generation capacity.</w:t>
      </w:r>
    </w:p>
    <w:p>
      <w:pPr>
        <w:pStyle w:val="Normal"/>
        <w:widowControl/>
        <w:jc w:val="both"/>
        <w:rPr/>
      </w:pPr>
      <w:r>
        <w:rPr/>
      </w:r>
    </w:p>
    <w:p>
      <w:pPr>
        <w:pStyle w:val="Normal"/>
        <w:widowControl/>
        <w:ind w:start="720" w:end="0"/>
        <w:jc w:val="both"/>
        <w:rPr/>
      </w:pPr>
      <w:r>
        <w:rPr>
          <w:u w:val="single"/>
        </w:rPr>
        <w:t>Section 2.3.1 – Corrective Actions.</w:t>
      </w:r>
      <w:r>
        <w:rPr/>
        <w:t xml:space="preserve">  Where the monitoring activities carried out by the MSU reveal a “significant possibility” of the presence of or potential for the exercise of market power, the MSU shall take the appropriate measures to institute corrective actions.  One possible sanction is the suspension from trading (MMIP 4.7.1.5).</w:t>
      </w:r>
    </w:p>
    <w:p>
      <w:pPr>
        <w:pStyle w:val="Normal"/>
        <w:widowControl/>
        <w:jc w:val="both"/>
        <w:rPr/>
      </w:pPr>
      <w:r>
        <w:rPr/>
      </w:r>
    </w:p>
    <w:p>
      <w:pPr>
        <w:pStyle w:val="Normal"/>
        <w:widowControl/>
        <w:ind w:start="720" w:end="0"/>
        <w:jc w:val="both"/>
        <w:rPr/>
      </w:pPr>
      <w:r>
        <w:rPr>
          <w:u w:val="single"/>
        </w:rPr>
        <w:t>Section 2.3.2 Further Actions.</w:t>
      </w:r>
      <w:r>
        <w:rPr/>
        <w:t xml:space="preserve">  Where the monitoring activities of the MSU reveal that the activities of market participants have the effect of, or potential for, undermining the efficiency, workability or reliability of the CAISO markets to give such Market Participants an unfair competitive advantage, the MSU shall fully investigate and, where appropriate, make recommendations to the CAISO CEO and the MSC for further action by the CAISO or, where necessary, publicize such activities in whatever medium it believes most appropriate.</w:t>
      </w:r>
    </w:p>
    <w:p>
      <w:pPr>
        <w:pStyle w:val="Normal"/>
        <w:widowControl/>
        <w:jc w:val="both"/>
        <w:rPr/>
      </w:pPr>
      <w:r>
        <w:rPr/>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keepNext w:val="true"/>
        <w:keepLines/>
        <w:widowControl/>
        <w:ind w:start="720" w:end="0"/>
        <w:jc w:val="both"/>
        <w:rPr/>
      </w:pPr>
      <w:r>
        <w:rPr>
          <w:u w:val="single"/>
        </w:rPr>
        <w:t>Section 2.3.3 -- Response to Gaming Behavior.</w:t>
      </w:r>
      <w:r>
        <w:rPr/>
        <w:t xml:space="preserve">  If evidence of gaming or taking undue advantage exists, the MSU may institute ADR procedures involving market participants.</w:t>
      </w:r>
    </w:p>
    <w:p>
      <w:pPr>
        <w:pStyle w:val="Normal"/>
        <w:keepLines/>
        <w:widowControl/>
        <w:jc w:val="both"/>
        <w:rPr/>
      </w:pPr>
      <w:r>
        <w:rPr/>
      </w:r>
    </w:p>
    <w:p>
      <w:pPr>
        <w:pStyle w:val="Normal"/>
        <w:widowControl/>
        <w:ind w:start="720" w:end="0"/>
        <w:jc w:val="both"/>
        <w:rPr/>
      </w:pPr>
      <w:r>
        <w:rPr>
          <w:u w:val="single"/>
        </w:rPr>
        <w:t>Section 2.3.4  -- Adverse Effects of Transition Mechanisms.</w:t>
      </w:r>
      <w:r>
        <w:rPr/>
        <w:t xml:space="preserve">  Should the monitoring and analysis of the MSU under MMIP 2.2.3 reveal significant adverse effects of transition mechanisms on competition in or the efficient operation of the ISO Markets, the MSU shall examine and fully assess the efficacy of all possible measures that may be taken by the CAISO and, in consultation with the Compliance Unit of the Cal PX, all possible measures that may be taken by the Cal PX, in order to prevent or to mitigate such adverse effects.  Such proposed measures may include, but shall not be limited to the use of direct bid caps (MMIP 2.3.4.1), contracts for differences (MMIP 2.3.4.2), and bid floors (MMIP 2.3.4.4).</w:t>
      </w:r>
    </w:p>
    <w:p>
      <w:pPr>
        <w:pStyle w:val="Normal"/>
        <w:widowControl/>
        <w:jc w:val="both"/>
        <w:rPr/>
      </w:pPr>
      <w:r>
        <w:rPr/>
      </w:r>
    </w:p>
    <w:p>
      <w:pPr>
        <w:pStyle w:val="Normal"/>
        <w:widowControl/>
        <w:ind w:start="720" w:end="0"/>
        <w:jc w:val="both"/>
        <w:rPr/>
      </w:pPr>
      <w:r>
        <w:rPr>
          <w:u w:val="single"/>
        </w:rPr>
        <w:t>Section 4.5.1 -- Collection of Data.</w:t>
      </w:r>
      <w:r>
        <w:rPr/>
        <w:t xml:space="preserve">  The MSU may request the submission of any information or data determined by the MSU to be potentially relevant to its monitoring activities.  Failure by CAISO participants to provide such data shall be treated under MMIP 4.5.2.</w:t>
      </w:r>
    </w:p>
    <w:p>
      <w:pPr>
        <w:pStyle w:val="Normal"/>
        <w:widowControl/>
        <w:jc w:val="both"/>
        <w:rPr/>
      </w:pPr>
      <w:r>
        <w:rPr/>
      </w:r>
    </w:p>
    <w:p>
      <w:pPr>
        <w:pStyle w:val="Normal"/>
        <w:widowControl/>
        <w:ind w:start="720" w:end="0"/>
        <w:jc w:val="both"/>
        <w:rPr/>
      </w:pPr>
      <w:r>
        <w:rPr>
          <w:u w:val="single"/>
        </w:rPr>
        <w:t>Section 4.5.2 -- Provision of Data by ISO Participants.</w:t>
      </w:r>
      <w:r>
        <w:rPr/>
        <w:t xml:space="preserve">  Failure by an ISO participant to provide information requested pursuant to MMIP 4.5.1, or otherwise to cooperate in the MSU's data collection or investigation activities, may be treated as grounds for action against the CAISO participant.  Such action may lead to the imposition of such penalties or sanctions as are permitted under the CAISO Tariff or related protocols approved by FERC and may include possible exclusion from the CAISO Markets or termination of any relevant CAISO agreements or certifications.</w:t>
      </w:r>
    </w:p>
    <w:p>
      <w:pPr>
        <w:pStyle w:val="Normal"/>
        <w:widowControl/>
        <w:jc w:val="both"/>
        <w:rPr/>
      </w:pPr>
      <w:r>
        <w:rPr/>
      </w:r>
    </w:p>
    <w:p>
      <w:pPr>
        <w:pStyle w:val="Normal"/>
        <w:widowControl/>
        <w:ind w:start="720" w:end="0"/>
        <w:jc w:val="both"/>
        <w:rPr/>
      </w:pPr>
      <w:r>
        <w:rPr>
          <w:u w:val="single"/>
        </w:rPr>
        <w:t>Section 4.8 – Liability for Damages.</w:t>
      </w:r>
      <w:r>
        <w:rPr/>
        <w:t xml:space="preserve">  The MSU, the MSC, the CAISO CEO and other CAISO staff shall not be liable to any market participant under any circumstances whatsoever for any matter described in those sections, including but not limited to any financial loss or loss of economic advantage resulting from the performance or non-performance by such CAISO entities under the MMIP.</w:t>
      </w:r>
    </w:p>
    <w:p>
      <w:pPr>
        <w:pStyle w:val="Normal"/>
        <w:widowControl/>
        <w:jc w:val="both"/>
        <w:rPr/>
      </w:pPr>
      <w:r>
        <w:rPr/>
      </w:r>
    </w:p>
    <w:p>
      <w:pPr>
        <w:pStyle w:val="Normal"/>
        <w:widowControl/>
        <w:ind w:start="720" w:end="0"/>
        <w:jc w:val="both"/>
        <w:rPr/>
      </w:pPr>
      <w:r>
        <w:rPr>
          <w:u w:val="single"/>
        </w:rPr>
        <w:t>Section 6.3.1 -- Required Reports.</w:t>
      </w:r>
      <w:r>
        <w:rPr/>
        <w:t xml:space="preserve">  All evaluations carried out by the MSC pursuant to the MMIP and any recommendations emanating from such evaluations, shall be made publicly available subject to due restrictions on dissemination of confidential or commercially sensitive information.</w:t>
      </w:r>
    </w:p>
    <w:p>
      <w:pPr>
        <w:pStyle w:val="Normal"/>
        <w:widowControl/>
        <w:jc w:val="both"/>
        <w:rPr/>
      </w:pPr>
      <w:r>
        <w:rPr/>
      </w:r>
    </w:p>
    <w:p>
      <w:pPr>
        <w:pStyle w:val="Normal"/>
        <w:widowControl/>
        <w:ind w:start="720" w:end="0"/>
        <w:jc w:val="both"/>
        <w:rPr/>
      </w:pPr>
      <w:r>
        <w:rPr>
          <w:u w:val="single"/>
        </w:rPr>
        <w:t>Section 6.4 -- Publication of Reports and Recommendations.</w:t>
      </w:r>
      <w:r>
        <w:rPr/>
        <w:t xml:space="preserve">  Upon request of the MSC, the ISO CEO shall publish reports and recommendations of the MSC.</w:t>
      </w:r>
    </w:p>
    <w:p>
      <w:pPr>
        <w:pStyle w:val="Normal"/>
        <w:widowControl/>
        <w:jc w:val="both"/>
        <w:rPr/>
      </w:pPr>
      <w:r>
        <w:rPr/>
      </w:r>
    </w:p>
    <w:p>
      <w:pPr>
        <w:pStyle w:val="Normal"/>
        <w:widowControl/>
        <w:ind w:start="720" w:end="0"/>
        <w:jc w:val="both"/>
        <w:rPr/>
      </w:pPr>
      <w:r>
        <w:rPr>
          <w:u w:val="single"/>
        </w:rPr>
        <w:t>Section 7.3 – Sanctions and Penalties.</w:t>
      </w:r>
      <w:r>
        <w:rPr/>
        <w:t xml:space="preserve">  Upon recommendation of the CAISO CEO, the CAISO Governing Board may impose such sanctions or penalties as it believes necessary and as are permitted under the CAISO Tariff and related protocols approved by FERC.</w:t>
      </w:r>
    </w:p>
    <w:p>
      <w:pPr>
        <w:pStyle w:val="Normal"/>
        <w:widowControl/>
        <w:jc w:val="both"/>
        <w:rPr/>
      </w:pPr>
      <w:r>
        <w:rPr/>
      </w:r>
    </w:p>
    <w:p>
      <w:pPr>
        <w:pStyle w:val="Normal"/>
        <w:widowControl/>
        <w:ind w:start="720" w:end="0"/>
        <w:jc w:val="both"/>
        <w:rPr/>
      </w:pPr>
      <w:r>
        <w:rPr>
          <w:u w:val="single"/>
        </w:rPr>
        <w:t>Section 8.1 -- Market Monitoring Data and Indices.</w:t>
      </w:r>
      <w:r>
        <w:rPr/>
        <w:t xml:space="preserve">  The MSU shall develop a catalog of data and indices.  Upon approval of the CAISO CEO, such catalogs shall be duly published on the CAISO Home Page and disseminated to all CAISO participants.</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spacing w:lineRule="auto" w:line="480"/>
        <w:jc w:val="both"/>
        <w:rPr/>
      </w:pPr>
      <w:r>
        <w:rPr/>
        <w:t>For the following reasons, all of the provisions of the MMIP, including but not limited to the foregoing, that allow it, the MSU or MSC to perform functions other than the gathering of information on a voluntary basis and the reporting of their findings to the Commission under seal are unlawful and should be removed from the ISO’s tariff.</w:t>
      </w:r>
    </w:p>
    <w:p>
      <w:pPr>
        <w:pStyle w:val="Level1"/>
        <w:widowControl/>
        <w:numPr>
          <w:ilvl w:val="0"/>
          <w:numId w:val="1"/>
        </w:numPr>
        <w:tabs>
          <w:tab w:val="left" w:pos="-1440" w:leader="none"/>
          <w:tab w:val="left" w:pos="720" w:leader="none"/>
        </w:tabs>
        <w:ind w:hanging="0" w:start="0" w:end="0"/>
        <w:jc w:val="both"/>
        <w:outlineLvl w:val="0"/>
        <w:rPr/>
      </w:pPr>
      <w:r>
        <w:rPr/>
        <w:t>The Federal Power Act Forbids the Delegation of Market Enforcement and Sanctioning Power to Non-Governmental Third-Parties Like the CAISO, Whose Market Monitoring Function Must be Limited to Data Collection and Reporting</w:t>
      </w:r>
    </w:p>
    <w:p>
      <w:pPr>
        <w:pStyle w:val="Normal"/>
        <w:widowControl/>
        <w:jc w:val="both"/>
        <w:rPr/>
      </w:pPr>
      <w:r>
        <w:fldChar w:fldCharType="begin"/>
      </w:r>
      <w:r>
        <w:rPr/>
        <w:instrText xml:space="preserve"> TC "The Federal Power Act Forbids the Delegation of Market Enforcement and Sanctioning Power to Non-Governmental Third-Parties Like the CAISO, Whose Market Monitoring Function Must be Limited to Data Collection and Reporting" \l 3 </w:instrText>
      </w:r>
      <w:r>
        <w:rPr/>
        <w:fldChar w:fldCharType="separate"/>
      </w:r>
      <w:r>
        <w:rPr/>
      </w:r>
      <w:r>
        <w:rPr/>
        <w:fldChar w:fldCharType="end"/>
      </w:r>
    </w:p>
    <w:p>
      <w:pPr>
        <w:pStyle w:val="Normal"/>
        <w:widowControl/>
        <w:tabs>
          <w:tab w:val="clear" w:pos="720"/>
          <w:tab w:val="left" w:pos="-1440" w:leader="none"/>
        </w:tabs>
        <w:ind w:hanging="720" w:start="1440" w:end="720"/>
        <w:jc w:val="both"/>
        <w:rPr/>
      </w:pPr>
      <w:r>
        <w:rPr>
          <w:b/>
          <w:i/>
        </w:rPr>
        <w:t>1.</w:t>
      </w:r>
      <w:r>
        <w:rPr>
          <w:b/>
        </w:rPr>
        <w:tab/>
      </w:r>
      <w:r>
        <w:rPr>
          <w:b/>
          <w:i/>
          <w:u w:val="single"/>
        </w:rPr>
        <w:t>The FPA Does Not Provide that the Commission Can Delegate its Enforcement and Sanctioning Powers to a Non-Government Entity.</w:t>
      </w:r>
    </w:p>
    <w:p>
      <w:pPr>
        <w:pStyle w:val="Normal"/>
        <w:widowControl/>
        <w:jc w:val="both"/>
        <w:rPr/>
      </w:pPr>
      <w:r>
        <w:fldChar w:fldCharType="begin"/>
      </w:r>
      <w:r>
        <w:rPr/>
        <w:instrText xml:space="preserve"> TC "1.</w:instrText>
        <w:tab/>
        <w:instrText xml:space="preserve">The FPA Does Not Provide that the Commission Can Delegate its Enforcement and Sanctioning Powers to a Non-Government Entity." \l 4 </w:instrText>
      </w:r>
      <w:r>
        <w:rPr/>
        <w:fldChar w:fldCharType="separate"/>
      </w:r>
      <w:r>
        <w:rPr/>
      </w:r>
      <w:r>
        <w:rPr/>
        <w:fldChar w:fldCharType="end"/>
      </w:r>
    </w:p>
    <w:p>
      <w:pPr>
        <w:pStyle w:val="Normal"/>
        <w:widowControl/>
        <w:spacing w:lineRule="auto" w:line="480"/>
        <w:ind w:firstLine="720" w:end="0"/>
        <w:jc w:val="both"/>
        <w:rPr/>
      </w:pPr>
      <w:r>
        <w:rPr/>
        <w:t xml:space="preserve">The Commission may not, as a matter of law, delegate the enforcement and sanctioning powers entrusted to it under the Federal Power Act to a non-governmental entity like the CAISO.  “When Congress has specifically vested an agency with the authority to administer a statute, it may not shift that responsibility to a private actor,” </w:t>
      </w:r>
      <w:r>
        <w:rPr>
          <w:i/>
        </w:rPr>
        <w:t xml:space="preserve">see Perot v. FEC, </w:t>
      </w:r>
      <w:r>
        <w:rPr/>
        <w:t xml:space="preserve">97 F.3d 553, 559 (D.C. Cir. 1996), </w:t>
      </w:r>
      <w:r>
        <w:rPr>
          <w:i/>
        </w:rPr>
        <w:t xml:space="preserve"> reh'g denied</w:t>
      </w:r>
      <w:r>
        <w:rPr/>
        <w:t xml:space="preserve">, (October 15, 1996), </w:t>
      </w:r>
      <w:r>
        <w:rPr>
          <w:i/>
        </w:rPr>
        <w:t>cert. denied sub nom. Hagelin v. FEC</w:t>
      </w:r>
      <w:r>
        <w:rPr/>
        <w:t>, 520 U.S. 1210 (1997), unless the legislature intended that such authority be delegated by the agency to a private actor.</w:t>
      </w:r>
      <w:r>
        <w:rPr>
          <w:rStyle w:val="FootnoteCharacters"/>
          <w:rStyle w:val="FootnoteReference"/>
          <w:vertAlign w:val="superscript"/>
        </w:rPr>
        <w:footnoteReference w:id="4"/>
      </w:r>
      <w:r>
        <w:rPr/>
        <w:t xml:space="preserve">  Thus, the relevant consideration is whether Congress intended to permit the agency to delegate the authority conferred by Congress.  </w:t>
      </w:r>
      <w:r>
        <w:rPr>
          <w:i/>
        </w:rPr>
        <w:t xml:space="preserve">Assiniboine &amp; Sioux Tribes v. Board of Oil &amp; Gas Conservation, </w:t>
      </w:r>
      <w:r>
        <w:rPr/>
        <w:t>792 F.2d 782, 795 (9th Cir. 1986).</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spacing w:lineRule="auto" w:line="480"/>
        <w:ind w:firstLine="720" w:end="0"/>
        <w:jc w:val="both"/>
        <w:rPr/>
      </w:pPr>
      <w:r>
        <w:rPr/>
        <w:t>The idea of delegation is nowhere to be found in the text of the Federal Power Act and there is nothing to demonstrate that Congress had delegation in mind when it enacted the FPA.  To the contrary, Sections 307, 314, 315, and 316 of the Act provide the Commission with comprehensive and exclusive civil enforcement authority.</w:t>
      </w:r>
      <w:r>
        <w:rPr>
          <w:rStyle w:val="FootnoteCharacters"/>
          <w:rStyle w:val="FootnoteReference"/>
          <w:vertAlign w:val="superscript"/>
        </w:rPr>
        <w:footnoteReference w:id="5"/>
      </w:r>
      <w:r>
        <w:rPr/>
        <w:t xml:space="preserve">  These provisions preclude individuals from acting as private attorney generals enforcing the provisions of the Act. </w:t>
      </w:r>
      <w:r>
        <w:rPr>
          <w:i/>
        </w:rPr>
        <w:t xml:space="preserve"> See Clark v. Gulf Oil Corp., </w:t>
      </w:r>
      <w:r>
        <w:rPr/>
        <w:t xml:space="preserve">570 F.2d 1138, 1149 (3rd Cir. 1977), </w:t>
      </w:r>
      <w:r>
        <w:rPr>
          <w:i/>
        </w:rPr>
        <w:t>cert. denied sub nom. Philadelphia Gas Works v. Gulf Oil Corp</w:t>
      </w:r>
      <w:r>
        <w:rPr/>
        <w:t xml:space="preserve">., 435 U.S. 970 (1978) ; </w:t>
      </w:r>
      <w:r>
        <w:rPr>
          <w:i/>
        </w:rPr>
        <w:t xml:space="preserve">see also City of Gainesville v. Florida Power &amp; Light Co., </w:t>
      </w:r>
      <w:r>
        <w:rPr/>
        <w:t xml:space="preserve">488 F. Supp. 1258, 1277-78 (S.D. Fla. 1980) (noting that the legislative history of the NGA, which was modeled after the FPA, does not suggest the existence of any private rights of action).  Authorizing the CAISO to assess penalties and investigate misconduct is thus inconsistent with Congress' mandate that the Commission should enforce the provisions of the FPA. </w:t>
      </w:r>
      <w:r>
        <w:rPr>
          <w:i/>
        </w:rPr>
        <w:t xml:space="preserve"> See Consumers Power Co., </w:t>
      </w:r>
      <w:r>
        <w:rPr/>
        <w:t xml:space="preserve">68 FERC </w:t>
      </w:r>
      <w:r>
        <w:rPr>
          <w:i/>
        </w:rPr>
        <w:t xml:space="preserve">¶ </w:t>
      </w:r>
      <w:r>
        <w:rPr/>
        <w:t>61,077, at 61,378-79 (1994) (holding that a settlement that gives the authority to assess penalties related to hydropower to an entity other than FERC under the FPA is impermissible as it conflicts with the FPA).</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spacing w:lineRule="auto" w:line="480"/>
        <w:ind w:firstLine="720" w:end="0"/>
        <w:jc w:val="both"/>
        <w:rPr/>
      </w:pPr>
      <w:r>
        <w:rPr/>
        <w:t xml:space="preserve">Delegation of administrative authority to private parties are particularly suspect when they are given to entities whose objectivity may be questioned on grounds of conflict of interest.  </w:t>
      </w:r>
      <w:r>
        <w:rPr>
          <w:i/>
        </w:rPr>
        <w:t xml:space="preserve">Sierra Club v. Sigler, </w:t>
      </w:r>
      <w:r>
        <w:rPr/>
        <w:t xml:space="preserve">695 F.2d 957, 963 n.3 (5th Cir. 1983),  </w:t>
      </w:r>
      <w:r>
        <w:rPr>
          <w:i/>
        </w:rPr>
        <w:t>reh'g denied</w:t>
      </w:r>
      <w:r>
        <w:rPr/>
        <w:t>, 704 F.2d 1251 (5th Cir.  1983).  The CAISO's objectivity in investigating possible market abuse is subject to question given that it has a vested interest (so as not to be sued) in dispelling any allegation that its own negligence could have been a contributing factor in any market anomaly.  Thus, the CAISO will be biased towards finding a scapegoat when such occurrences arise.</w:t>
      </w:r>
      <w:r>
        <w:rPr>
          <w:rStyle w:val="FootnoteCharacters"/>
          <w:rStyle w:val="FootnoteReference"/>
          <w:vertAlign w:val="superscript"/>
        </w:rPr>
        <w:footnoteReference w:id="6"/>
      </w:r>
      <w:r>
        <w:rPr/>
        <w:t xml:space="preserve">  In addition, as discussed above, </w:t>
      </w:r>
      <w:r>
        <w:rPr>
          <w:i/>
        </w:rPr>
        <w:t>supra</w:t>
      </w:r>
      <w:r>
        <w:rPr/>
        <w:t xml:space="preserve"> at 2-3, the CAISO and its staff also have economic incentives under certain circumstances to find that market participants have acted improperly.  The CAISO's objectivity to enforce market rules on an impartial basis will thus, inherently, always be suspect and open to challenge.</w:t>
      </w:r>
    </w:p>
    <w:p>
      <w:pPr>
        <w:pStyle w:val="Level1"/>
        <w:widowControl/>
        <w:numPr>
          <w:ilvl w:val="0"/>
          <w:numId w:val="2"/>
        </w:numPr>
        <w:tabs>
          <w:tab w:val="clear" w:pos="720"/>
          <w:tab w:val="left" w:pos="-1440" w:leader="none"/>
          <w:tab w:val="left" w:pos="1440" w:leader="none"/>
        </w:tabs>
        <w:ind w:hanging="0" w:start="1440" w:end="720"/>
        <w:jc w:val="both"/>
        <w:outlineLvl w:val="0"/>
        <w:rPr/>
      </w:pPr>
      <w:r>
        <w:rPr>
          <w:u w:val="single"/>
        </w:rPr>
        <w:t>The CAISO’s Tariff Does Not Provide that the Commission Retains Authority to Review the CAISO’s Enforcement and Sanctions Decisions.</w:t>
      </w:r>
      <w:r>
        <w:fldChar w:fldCharType="begin"/>
      </w:r>
      <w:r>
        <w:rPr/>
        <w:instrText xml:space="preserve"> TC "The CAISO’s Tariff Does Not Provide that the Commission Retains Authority to Review the CAISO’s Enforcement and Sanctions Decisions." \l 3 </w:instrText>
      </w:r>
      <w:r>
        <w:rPr/>
        <w:fldChar w:fldCharType="separate"/>
      </w:r>
      <w:r>
        <w:rPr/>
      </w:r>
      <w:r>
        <w:rPr/>
        <w:fldChar w:fldCharType="end"/>
      </w:r>
    </w:p>
    <w:p>
      <w:pPr>
        <w:pStyle w:val="Normal"/>
        <w:widowControl/>
        <w:jc w:val="both"/>
        <w:rPr/>
      </w:pPr>
      <w:r>
        <w:rPr/>
      </w:r>
    </w:p>
    <w:p>
      <w:pPr>
        <w:pStyle w:val="Normal"/>
        <w:widowControl/>
        <w:spacing w:lineRule="auto" w:line="480"/>
        <w:ind w:firstLine="720" w:end="0"/>
        <w:jc w:val="both"/>
        <w:rPr/>
      </w:pPr>
      <w:r>
        <w:rPr/>
        <w:t xml:space="preserve">Another important factor in evaluating the lawfulness of an agency’s determination to delegate its powers is whether the non-federal delegatee has final decision-making authority or whether the agency retains the power to review any decision made by the non-federal body.  </w:t>
      </w:r>
      <w:r>
        <w:rPr>
          <w:i/>
        </w:rPr>
        <w:t xml:space="preserve">See RH Johnson &amp; Co. v. SEC, </w:t>
      </w:r>
      <w:r>
        <w:rPr/>
        <w:t xml:space="preserve">198 F.2d 690, 695 (2nd Cir. 1952), </w:t>
      </w:r>
      <w:r>
        <w:rPr>
          <w:i/>
        </w:rPr>
        <w:t>cert denied</w:t>
      </w:r>
      <w:r>
        <w:rPr/>
        <w:t xml:space="preserve">, 344 U.S. 855 (1952), (holding that the SEC did not unconstitutionally delegate power to the National Association of Securities Dealers, because it retained the power to approve or disapprove rules and to review disciplinary actions); </w:t>
      </w:r>
      <w:r>
        <w:rPr>
          <w:i/>
        </w:rPr>
        <w:t xml:space="preserve">Friends of Endangered Species, Inc. v. Jantzen, </w:t>
      </w:r>
      <w:r>
        <w:rPr/>
        <w:t xml:space="preserve">589 F.Supp. 113, 118-19 (N.D. Cal. 1984), </w:t>
      </w:r>
      <w:r>
        <w:rPr>
          <w:i/>
        </w:rPr>
        <w:t xml:space="preserve">affd, </w:t>
      </w:r>
      <w:r>
        <w:rPr/>
        <w:t xml:space="preserve">760 F.2d 976 (9th Cir. 1985), </w:t>
      </w:r>
      <w:r>
        <w:rPr>
          <w:i/>
        </w:rPr>
        <w:t xml:space="preserve">aff'd, </w:t>
      </w:r>
      <w:r>
        <w:rPr/>
        <w:t xml:space="preserve">760 F.2d 976 (9th Cir. 1985) (noting that federal agency’s delegation of environmental research to a third party is impermissible if the agency fails to adequately review the work); </w:t>
      </w:r>
      <w:r>
        <w:rPr>
          <w:i/>
        </w:rPr>
        <w:t xml:space="preserve">see also United Black Fund, Inc. v. Hampton, </w:t>
      </w:r>
      <w:r>
        <w:rPr/>
        <w:t>352 F.Supp. 898, 904 (D.D.C. 1972) (holding that no unlawful delegation of authority had occurred because the chairman of the U.S. Civil Service Commission retained authority to review policies to make sure they met federal requirements).</w:t>
      </w:r>
      <w:r>
        <w:rPr>
          <w:rStyle w:val="FootnoteCharacters"/>
          <w:rStyle w:val="FootnoteReference"/>
          <w:vertAlign w:val="superscript"/>
        </w:rPr>
        <w:footnoteReference w:id="7"/>
      </w:r>
      <w:r>
        <w:rPr/>
        <w:t xml:space="preserve"> </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spacing w:lineRule="auto" w:line="480"/>
        <w:ind w:firstLine="720" w:end="0"/>
        <w:jc w:val="both"/>
        <w:rPr/>
      </w:pPr>
      <w:r>
        <w:rPr/>
        <w:t xml:space="preserve">The MMIP does not allow for review by the Commission of the CAISO’s enforcement and sanctions decisions.  </w:t>
      </w:r>
      <w:r>
        <w:rPr>
          <w:rFonts w:cs="Team MT" w:ascii="Team MT" w:hAnsi="Team MT"/>
        </w:rPr>
        <w:t>Thus, even if the FPA contemplated delegation under certain circumstances (which it does not), the absence of any provision in the MMIP that preserves the Commission’s role to review the decisions by the CAISO is an additional reason why the delegation of enforcement and sanctioning authority to the CAISO under the MMIP is improper and should be rejected.</w:t>
      </w:r>
    </w:p>
    <w:p>
      <w:pPr>
        <w:pStyle w:val="Level1"/>
        <w:widowControl/>
        <w:numPr>
          <w:ilvl w:val="0"/>
          <w:numId w:val="3"/>
        </w:numPr>
        <w:tabs>
          <w:tab w:val="left" w:pos="-1440" w:leader="none"/>
          <w:tab w:val="left" w:pos="720" w:leader="none"/>
        </w:tabs>
        <w:ind w:hanging="0" w:start="0" w:end="0"/>
        <w:jc w:val="both"/>
        <w:outlineLvl w:val="0"/>
        <w:rPr/>
      </w:pPr>
      <w:r>
        <w:rPr/>
        <w:t>The CAISO’s June 1, 1998 Compliance Filing in This Proceeding on MMIP Issues was Legally Deficient and Should Have Been Summarily Rejected.</w:t>
      </w:r>
    </w:p>
    <w:p>
      <w:pPr>
        <w:pStyle w:val="Normal"/>
        <w:widowControl/>
        <w:jc w:val="both"/>
        <w:rPr/>
      </w:pPr>
      <w:r>
        <w:fldChar w:fldCharType="begin"/>
      </w:r>
      <w:r>
        <w:rPr/>
        <w:instrText xml:space="preserve"> TC "The CAISO’s June 1, 1998 Compliance Filing in This Proceeding on MMIP Issues was Legally Deficient and Should Have Been Summarily Rejected." \l 3 </w:instrText>
      </w:r>
      <w:r>
        <w:rPr/>
        <w:fldChar w:fldCharType="separate"/>
      </w:r>
      <w:r>
        <w:rPr/>
      </w:r>
      <w:r>
        <w:rPr/>
        <w:fldChar w:fldCharType="end"/>
      </w:r>
    </w:p>
    <w:p>
      <w:pPr>
        <w:pStyle w:val="Normal"/>
        <w:widowControl/>
        <w:spacing w:lineRule="auto" w:line="480"/>
        <w:ind w:firstLine="720" w:end="0"/>
        <w:jc w:val="both"/>
        <w:rPr/>
      </w:pPr>
      <w:r>
        <w:rPr/>
        <w:t xml:space="preserve">The CAISO’s failure to delete the provisions of the MMIP that allow it to impose sanctions and penalties as part of its compliance filing in this proceeding also fails to comply with the Commission’s earlier rejection of the proposed provisions. </w:t>
      </w:r>
    </w:p>
    <w:p>
      <w:pPr>
        <w:pStyle w:val="Normal"/>
        <w:widowControl/>
        <w:spacing w:lineRule="auto" w:line="480"/>
        <w:ind w:firstLine="720" w:end="0"/>
        <w:jc w:val="both"/>
        <w:rPr/>
      </w:pPr>
      <w:r>
        <w:rPr/>
        <w:t>As noted, the Commission, in its order acting on the Trustees’ Phase II filing, did not approve the CAISO’s proposed sanctioning authority, but instead directed the CAISO and the Cal PX to revise their tariffs "to describe penalties that they may impose and describe the behavior that would trigger each penalty."</w:t>
      </w:r>
      <w:r>
        <w:rPr>
          <w:rStyle w:val="FootnoteCharacters"/>
          <w:rStyle w:val="FootnoteReference"/>
          <w:vertAlign w:val="superscript"/>
        </w:rPr>
        <w:footnoteReference w:id="8"/>
      </w:r>
      <w:r>
        <w:rPr/>
        <w:t xml:space="preserve">  </w:t>
      </w:r>
      <w:r>
        <w:rPr>
          <w:i/>
        </w:rPr>
        <w:t>PG&amp;E</w:t>
      </w:r>
      <w:r>
        <w:rPr/>
        <w:t>, 81 FERC at 61,553.</w:t>
      </w:r>
      <w:r>
        <w:rPr>
          <w:rFonts w:cs="Team MT" w:ascii="Team MT" w:hAnsi="Team MT"/>
        </w:rPr>
        <w:t xml:space="preserve"> </w:t>
      </w:r>
      <w:r>
        <w:rPr>
          <w:rFonts w:cs="Team MT" w:ascii="Team MT" w:hAnsi="Team MT"/>
          <w:i/>
        </w:rPr>
        <w:t xml:space="preserve">See also </w:t>
      </w:r>
      <w:r>
        <w:rPr>
          <w:rFonts w:cs="Team MT" w:ascii="Team MT" w:hAnsi="Team MT"/>
        </w:rPr>
        <w:t xml:space="preserve">Ordering (U), </w:t>
      </w:r>
      <w:r>
        <w:rPr>
          <w:rFonts w:cs="Team MT" w:ascii="Team MT" w:hAnsi="Team MT"/>
          <w:i/>
        </w:rPr>
        <w:t xml:space="preserve">id. </w:t>
      </w:r>
      <w:r>
        <w:rPr>
          <w:rFonts w:cs="Team MT" w:ascii="Team MT" w:hAnsi="Team MT"/>
        </w:rPr>
        <w:t xml:space="preserve">at 61,573.  Although the Commission allowed the CAISO and Cal PX to defer their compliance filings until 60 days after the startup of operations that “incorporat[ed] the modifications to the proposals detailed in this order,” </w:t>
      </w:r>
      <w:r>
        <w:rPr>
          <w:rFonts w:cs="Team MT" w:ascii="Team MT" w:hAnsi="Team MT"/>
          <w:i/>
        </w:rPr>
        <w:t xml:space="preserve">id. </w:t>
      </w:r>
      <w:r>
        <w:rPr>
          <w:rFonts w:cs="Team MT" w:ascii="Team MT" w:hAnsi="Team MT"/>
        </w:rPr>
        <w:t xml:space="preserve">at 61,436, it did, nevertheless, strike down the provisions of the CAISO’s tariff that allow its Governing Board or any unit within the CAISO to impose sanctions or take unilateral corrective action without first making the requisite section 205 filing.  </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tabs>
          <w:tab w:val="clear" w:pos="720"/>
          <w:tab w:val="left" w:pos="-1440" w:leader="none"/>
        </w:tabs>
        <w:ind w:hanging="720" w:start="1440" w:end="0"/>
        <w:jc w:val="both"/>
        <w:rPr/>
      </w:pPr>
      <w:r>
        <w:rPr>
          <w:rFonts w:cs="Team MT" w:ascii="Team MT" w:hAnsi="Team MT"/>
        </w:rPr>
        <w:t>Accordingly, as part of its June 1, 1998 compliance filing, the CAISO should have eliminated</w:t>
      </w:r>
      <w:r>
        <w:rPr/>
        <w:t xml:space="preserve"> Sections 2.3.1, 2.3.2, 2.3.3, 2.3.4, 4.5.2, and 7.3 of the MMIP because they allow the CAISO to impose sanctions or penalties in a manner inconsistent with </w:t>
      </w:r>
      <w:r>
        <w:rPr>
          <w:i/>
        </w:rPr>
        <w:t>PG&amp;E</w:t>
      </w:r>
      <w:r>
        <w:rPr/>
        <w:t xml:space="preserve">.  Rather than revise its tariff in that compliance filing to bring it into compliance with </w:t>
      </w:r>
      <w:r>
        <w:rPr>
          <w:i/>
        </w:rPr>
        <w:t>PG&amp;E</w:t>
      </w:r>
      <w:r>
        <w:rPr/>
        <w:t xml:space="preserve">, however, the CAISO simply retained the existing enforcement provisions of its MMIP.  Thus, in addition to the other reasons discussed herein, the Commission, in order to enforce compliance with its prior orders, should delete the foregoing provisions of the CAISO’s MMIP that enable its Governing Board or any employee or unit within the CAISO the right to unilaterally impose sanctions or penalties on market participants.  </w:t>
      </w:r>
      <w:r>
        <w:rPr>
          <w:b/>
          <w:sz w:val="26"/>
        </w:rPr>
        <w:t>II.D.2</w:t>
        <w:tab/>
        <w:tab/>
        <w:t>Does section 2 of the Market Monitoring and Information Protocol of the ISO Tariff ("MMIP") that allows the ISO to monitor the activities of Market Participants and take corrective and other action against what it believes to be "anomalous market behavior" provide the ISO with overbroad authority and  and deny market participants due process? (Issue No. 64)</w:t>
      </w:r>
      <w:r>
        <w:fldChar w:fldCharType="begin"/>
      </w:r>
      <w:r>
        <w:rPr/>
        <w:instrText xml:space="preserve"> TC "II.D.2</w:instrText>
        <w:tab/>
        <w:instrText xml:space="preserve"/>
        <w:tab/>
        <w:instrText xml:space="preserve">Does section 2 of the Market Monitoring and Information Protocol of the ISO Tariff (" \l 2 </w:instrText>
      </w:r>
      <w:r>
        <w:rPr/>
        <w:fldChar w:fldCharType="separate"/>
      </w:r>
      <w:r>
        <w:rPr/>
      </w:r>
      <w:r>
        <w:rPr/>
        <w:fldChar w:fldCharType="end"/>
      </w:r>
    </w:p>
    <w:p>
      <w:pPr>
        <w:pStyle w:val="Normal"/>
        <w:widowControl/>
        <w:jc w:val="both"/>
        <w:rPr/>
      </w:pPr>
      <w:r>
        <w:rPr/>
      </w:r>
    </w:p>
    <w:p>
      <w:pPr>
        <w:pStyle w:val="Normal"/>
        <w:widowControl/>
        <w:spacing w:lineRule="auto" w:line="480"/>
        <w:ind w:firstLine="720" w:end="0"/>
        <w:jc w:val="both"/>
        <w:rPr/>
      </w:pPr>
      <w:r>
        <w:rPr/>
        <w:t xml:space="preserve">Even assuming, </w:t>
      </w:r>
      <w:r>
        <w:rPr>
          <w:i/>
        </w:rPr>
        <w:t>arguendo</w:t>
      </w:r>
      <w:r>
        <w:rPr/>
        <w:t>, that the Commission may, as a matter of law, delegate enforcement and sanctioning powers to the CAISO, the CAISO’s MMIP should nevertheless be rejected since it violates the requirements of the filed rate doctrine that market participants must be afforded notice of the terms and conditions under which FERC-jurisdictional service is being provided,</w:t>
      </w:r>
      <w:r>
        <w:rPr>
          <w:rStyle w:val="FootnoteCharacters"/>
          <w:rStyle w:val="FootnoteReference"/>
          <w:vertAlign w:val="superscript"/>
        </w:rPr>
        <w:footnoteReference w:id="9"/>
      </w:r>
      <w:r>
        <w:rPr/>
        <w:t xml:space="preserve"> </w:t>
      </w:r>
      <w:r>
        <w:rPr>
          <w:i/>
        </w:rPr>
        <w:t>Associated Gas Distributors v. FERC</w:t>
      </w:r>
      <w:r>
        <w:rPr/>
        <w:t xml:space="preserve">, 893 F.2d 349, 356 (D.C. Cir. 1989) (providing the necessary predictability is the whole purpose of the filed rate doctrine), </w:t>
      </w:r>
      <w:r>
        <w:rPr>
          <w:i/>
        </w:rPr>
        <w:t>citing Columbia Gas Transmission Corp. v. FERC</w:t>
      </w:r>
      <w:r>
        <w:rPr/>
        <w:t xml:space="preserve">, 831 F.2d 1135, 1141 (D.C. Cir. 1987), </w:t>
      </w:r>
      <w:r>
        <w:rPr>
          <w:i/>
        </w:rPr>
        <w:t>cert. denied sub nom. Interstate Natural Gas Ass'n v. FERC</w:t>
      </w:r>
      <w:r>
        <w:rPr/>
        <w:t xml:space="preserve">, 485 U.S. 1008 (1988); </w:t>
      </w:r>
      <w:r>
        <w:rPr>
          <w:i/>
        </w:rPr>
        <w:t>Amerada Hess Pipeline Corporation,</w:t>
      </w:r>
      <w:r>
        <w:rPr/>
        <w:t xml:space="preserve"> </w:t>
      </w:r>
      <w:r>
        <w:rPr>
          <w:i/>
        </w:rPr>
        <w:t>et al.</w:t>
      </w:r>
      <w:r>
        <w:rPr/>
        <w:t xml:space="preserve">, 79 FERC ¶ 61,300, at 62,359 (1997); </w:t>
      </w:r>
      <w:r>
        <w:rPr>
          <w:i/>
        </w:rPr>
        <w:t>Panhandle Eastern Pipeline Co.</w:t>
      </w:r>
      <w:r>
        <w:rPr/>
        <w:t xml:space="preserve">, 54 FERC ¶ 61,297, at 61,859 (1991), as well as the Commission's policy in </w:t>
      </w:r>
      <w:r>
        <w:rPr>
          <w:i/>
        </w:rPr>
        <w:t>NYISO</w:t>
      </w:r>
      <w:r>
        <w:rPr/>
        <w:t xml:space="preserve"> that market monitoring  provisions must be narrowly written with carefully-crafted “bright-line” standards that do not give the ISO subjective discretion to define what constitutes improper market behavior on an </w:t>
      </w:r>
      <w:r>
        <w:rPr>
          <w:i/>
        </w:rPr>
        <w:t>ad hoc</w:t>
      </w:r>
      <w:r>
        <w:rPr/>
        <w:t xml:space="preserve"> basis, but which provide market participants with clear notice of the behavior that is being prohibited.  </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spacing w:lineRule="auto" w:line="480"/>
        <w:ind w:firstLine="720" w:end="0"/>
        <w:jc w:val="both"/>
        <w:rPr/>
      </w:pPr>
      <w:r>
        <w:rPr/>
        <w:t xml:space="preserve">In </w:t>
      </w:r>
      <w:r>
        <w:rPr>
          <w:i/>
        </w:rPr>
        <w:t>NYISO</w:t>
      </w:r>
      <w:r>
        <w:rPr/>
        <w:t>, the Commission accepted the NYISO's proposed mitigation plan, but stressed that the NYISO's right to issue demand letters requesting the participant to cease certain behavior involved voluntary actions on the part of the participants and did not require a participant to comply involuntarily.  89 FERC ¶ 61,196, at 61,605.  The Commission specifically rejected the NYISO's right to take unilateral action (</w:t>
      </w:r>
      <w:r>
        <w:rPr>
          <w:i/>
        </w:rPr>
        <w:t>e.g.</w:t>
      </w:r>
      <w:r>
        <w:rPr/>
        <w:t xml:space="preserve">, reduce bid flexibility, impose financial obligations to pay for operating reserves, and impose default bids) because the NYISO's tariff gave "too much discretion to the ISO in price-setting and other similar regulatory functions without Commission review."  </w:t>
      </w:r>
      <w:r>
        <w:rPr>
          <w:i/>
        </w:rPr>
        <w:t>Id.</w:t>
      </w:r>
      <w:r>
        <w:rPr/>
        <w:t xml:space="preserve">  The Commission added:</w:t>
      </w:r>
    </w:p>
    <w:p>
      <w:pPr>
        <w:pStyle w:val="Normal"/>
        <w:widowControl/>
        <w:ind w:start="1440" w:end="1440"/>
        <w:jc w:val="both"/>
        <w:rPr/>
      </w:pPr>
      <w:r>
        <w:rPr/>
        <w:t>In particular, the ISO has not described with enough specificity the types of conduct that would trigger the imposition of these measures. . . . The ISO has not established specific thresholds or bright line tests that would trigger the conclusions that market power has been exercised. . . .  Moreover, the proposal includes no provision for an affected participant to appeal the ISO's decision to the Commission.</w:t>
      </w:r>
    </w:p>
    <w:p>
      <w:pPr>
        <w:pStyle w:val="Normal"/>
        <w:widowControl/>
        <w:jc w:val="both"/>
        <w:rPr/>
      </w:pPr>
      <w:r>
        <w:rPr/>
      </w:r>
    </w:p>
    <w:p>
      <w:pPr>
        <w:pStyle w:val="Normal"/>
        <w:widowControl/>
        <w:spacing w:lineRule="auto" w:line="480"/>
        <w:jc w:val="both"/>
        <w:rPr/>
      </w:pPr>
      <w:r>
        <w:rPr>
          <w:i/>
        </w:rPr>
        <w:t>Id.</w:t>
      </w:r>
      <w:r>
        <w:rPr/>
        <w:t xml:space="preserve">  Recognizing that it had given the CAISO and other ISOs the types of discretion that it was denying the NYISO, the Commission stated that it “intend[s] to revisit the authorities and discretion [granted those] other ISOs.”  </w:t>
      </w:r>
      <w:r>
        <w:rPr>
          <w:i/>
        </w:rPr>
        <w:t xml:space="preserve">Id. </w:t>
      </w:r>
      <w:r>
        <w:rPr/>
        <w:t xml:space="preserve">  </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spacing w:lineRule="auto" w:line="480"/>
        <w:ind w:firstLine="720" w:end="0"/>
        <w:jc w:val="both"/>
        <w:rPr/>
      </w:pPr>
      <w:r>
        <w:rPr/>
        <w:t>The vagueness and subjectivity in the CAISO's MMIP is even more egregious than the lack of objectivity in the NYISO's proposal.  Under Section 2 of the MMIP, the MSU is given broad, subjective authority to monitor the market behavior of market participants.  This authority is not circumscribed and defined in a manner that affords market participants with clear notice of the behavior that is prohibited.  To the contrary, Section 2.1.1 prohibits "anomalous market behavior," which is defined only as behavior "that departs significantly from the normal behavior in competitive markets" or behavior leading to "unusual or unexplained market outcomes."</w:t>
      </w:r>
      <w:r>
        <w:rPr>
          <w:rStyle w:val="FootnoteCharacters"/>
          <w:rStyle w:val="FootnoteReference"/>
          <w:vertAlign w:val="superscript"/>
        </w:rPr>
        <w:footnoteReference w:id="10"/>
      </w:r>
      <w:r>
        <w:rPr/>
        <w:t xml:space="preserve">  Equally egregious, MMIP 2.1.3 prohibits "gaming," which is defined simply as "taking unfair advantage of the rules" and procedures set forth in the Cal PX and CAISO tariffs, protocols, and activity rules.  MMIP 2.1.3 adds that gaming may also include "taking undue advantage of other conditions that may affect the availability of transmission and generation capacity . . . ."</w:t>
      </w:r>
    </w:p>
    <w:p>
      <w:pPr>
        <w:pStyle w:val="Normal"/>
        <w:widowControl/>
        <w:spacing w:lineRule="auto" w:line="480"/>
        <w:ind w:firstLine="720" w:end="0"/>
        <w:jc w:val="both"/>
        <w:rPr/>
      </w:pPr>
      <w:r>
        <w:rPr/>
        <w:t xml:space="preserve">As can be seen, Section 2 of the MMIP gives the CAISO and its MSU the power to police for vaguely-defined, subjective behavior that does not provide market participants with clear knowledge of what is being prohibited.  This fails  to provide the specific thresholds and bright line tests that the Commission found in </w:t>
      </w:r>
      <w:r>
        <w:rPr>
          <w:i/>
        </w:rPr>
        <w:t>NYISO</w:t>
      </w:r>
      <w:r>
        <w:rPr/>
        <w:t xml:space="preserve"> to be essential.  Thus, assuming that the CAISO is allowed to perform a market enforcement function (which we submit it is not), it needs, at a minimum, to revise its tariff to provide precise descriptions of the behavior that is prohibited so that the market participants will know in advance what type of market behavior is allowable and what is not allowable.</w:t>
      </w:r>
      <w:r>
        <w:rPr>
          <w:rStyle w:val="FootnoteCharacters"/>
          <w:rStyle w:val="FootnoteReference"/>
          <w:vertAlign w:val="superscript"/>
        </w:rPr>
        <w:footnoteReference w:id="11"/>
      </w:r>
      <w:r>
        <w:rPr/>
        <w:t xml:space="preserve">  Due process demands no less.</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spacing w:lineRule="auto" w:line="480"/>
        <w:ind w:firstLine="720" w:end="0"/>
        <w:jc w:val="both"/>
        <w:rPr/>
      </w:pPr>
      <w:r>
        <w:rPr/>
        <w:t xml:space="preserve">Sections 2.3.1, 2.3.2, 2.3.3, 2.3.4, 4.5.2, and 7.3 of the MMIP are additionally infirm because they enable the CAISO to issues findings of wrongdoing and impose sanctions before an appeal of those findings to the Commission can be made.  This enables the CAISO to impose sanctions and penalties for market behavior that (i) the Commission might not find to be improper, (ii) which may not be clearly identified in the tariff, or (iii) which may involve technical violations that the Commission does not believe to be sanctionable.  Under similar circumstances, the Commission, in </w:t>
      </w:r>
      <w:r>
        <w:rPr>
          <w:i/>
        </w:rPr>
        <w:t>NYISO</w:t>
      </w:r>
      <w:r>
        <w:rPr/>
        <w:t xml:space="preserve">, 89 FERC at 61,605, concluded that the NYISO's market monitoring provisions were flawed because they did not provide for appeal to FERC before a determination could be entered.  Thus, even assuming, </w:t>
      </w:r>
      <w:r>
        <w:rPr>
          <w:i/>
        </w:rPr>
        <w:t>arguendo</w:t>
      </w:r>
      <w:r>
        <w:rPr/>
        <w:t>, that the Commission may delegate clearly-defined enforcement and sanctioning powers to the CAISO (none of which exist here), the MMIP is nevertheless objectionable since is does not contain the appropriate safeguard of prior Commission review.</w:t>
      </w:r>
    </w:p>
    <w:p>
      <w:pPr>
        <w:pStyle w:val="Normal"/>
        <w:widowControl/>
        <w:spacing w:lineRule="auto" w:line="480"/>
        <w:ind w:firstLine="720" w:end="0"/>
        <w:jc w:val="both"/>
        <w:rPr/>
      </w:pPr>
      <w:r>
        <w:rPr/>
        <w:t>For these reasons, the MMIP must, at a minimum, be modified (i) to provide clear, bright-line standards of the prohibited behavior, and (ii) allow market participants to appeal any adverse findings to the Commission before those findings are released to the public.</w:t>
      </w:r>
    </w:p>
    <w:p>
      <w:pPr>
        <w:pStyle w:val="Normal"/>
        <w:widowControl/>
        <w:tabs>
          <w:tab w:val="clear" w:pos="720"/>
          <w:tab w:val="left" w:pos="-1440" w:leader="none"/>
        </w:tabs>
        <w:ind w:hanging="1440" w:start="1440" w:end="0"/>
        <w:jc w:val="both"/>
        <w:rPr/>
      </w:pPr>
      <w:r>
        <w:rPr>
          <w:b/>
          <w:sz w:val="26"/>
        </w:rPr>
        <w:t>II.D.3</w:t>
        <w:tab/>
        <w:tab/>
        <w:t>Does section 2.3.2 of the MMIP, which allows the ISO to publicize allegedly abusive activities or behavior of Scheduling Coordinators before a Commission finding of wrongdoing is reached, deny Scheduling Coordinators due process? (Issue No. 65)</w:t>
      </w:r>
      <w:r>
        <w:fldChar w:fldCharType="begin"/>
      </w:r>
      <w:r>
        <w:rPr/>
        <w:instrText xml:space="preserve"> TC "II.D.3</w:instrText>
        <w:tab/>
        <w:instrText xml:space="preserve"/>
        <w:tab/>
        <w:instrText xml:space="preserve">Does section 2.3.2 of the MMIP, which allows the ISO to publicize allegedly abusive activities or behavior of Scheduling Coordinators before a Commission finding of wrongdoing is reached, deny Scheduling Coordinators due process? (Issue No. 65)" \l 2 </w:instrText>
      </w:r>
      <w:r>
        <w:rPr/>
        <w:fldChar w:fldCharType="separate"/>
      </w:r>
      <w:r>
        <w:rPr/>
      </w:r>
      <w:r>
        <w:rPr/>
        <w:fldChar w:fldCharType="end"/>
      </w:r>
    </w:p>
    <w:p>
      <w:pPr>
        <w:pStyle w:val="Normal"/>
        <w:widowControl/>
        <w:jc w:val="both"/>
        <w:rPr/>
      </w:pPr>
      <w:r>
        <w:rPr/>
      </w:r>
    </w:p>
    <w:p>
      <w:pPr>
        <w:pStyle w:val="Normal"/>
        <w:widowControl/>
        <w:spacing w:lineRule="auto" w:line="480"/>
        <w:ind w:firstLine="720" w:end="0"/>
        <w:jc w:val="both"/>
        <w:rPr/>
      </w:pPr>
      <w:r>
        <w:rPr/>
        <w:t xml:space="preserve">MMIP 2.3.2 provides that when the MSU concludes that the activities of a market participant has the "effect of, or potential for, undermining the efficiency, workability or reliability of the ISO Markets" or to give such market participant an unfair competitive advantage, the ISO may, among other things, publicize such activities along with recommendations "in whatever medium it believes most appropriate."  </w:t>
      </w:r>
      <w:r>
        <w:rPr>
          <w:i/>
        </w:rPr>
        <w:t>See also</w:t>
      </w:r>
      <w:r>
        <w:rPr/>
        <w:t xml:space="preserve"> MMIP 6.3.1, 6.4 and 8.1.  The Commission should reject the CAISO's ability to publish its, or the MSU's, findings or in any way make them known prior to them first being affirmed and adopted by the Commission in a proceeding conducted </w:t>
      </w:r>
      <w:r>
        <w:rPr>
          <w:i/>
        </w:rPr>
        <w:t>in camera</w:t>
      </w:r>
      <w:r>
        <w:rPr/>
        <w:t xml:space="preserve"> and subject to the confidentiality provisions of 18 C.F.R. § 388.112.  Once publication occurs, the damage to a market participant’s reputation cannot be cured, even if the Commission subsequently finds no improper behavior.  The damage to the aggrieved participant's commercial interests will be permanent.  This will have a chilling effect on the willingness of entities to participate in the market and to help effectuate the Commission's policy to create a robust national electricity market, contrary to the Commission policy to encourage participation in open access markets.</w:t>
      </w:r>
      <w:r>
        <w:rPr>
          <w:rStyle w:val="FootnoteCharacters"/>
          <w:rStyle w:val="FootnoteReference"/>
          <w:vertAlign w:val="superscript"/>
        </w:rPr>
        <w:footnoteReference w:id="12"/>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spacing w:lineRule="auto" w:line="480"/>
        <w:ind w:firstLine="720" w:end="0"/>
        <w:jc w:val="both"/>
        <w:rPr/>
      </w:pPr>
      <w:r>
        <w:rPr/>
        <w:t xml:space="preserve">In </w:t>
      </w:r>
      <w:r>
        <w:rPr>
          <w:i/>
        </w:rPr>
        <w:t>NYISO</w:t>
      </w:r>
      <w:r>
        <w:rPr/>
        <w:t>, the Commission effectively prohibited publication of the findings of ISO investigations of market behavior until those findings are first reviewed and affirmed by the Commission.  The Commission began by noting that the NYISO "</w:t>
      </w:r>
      <w:r>
        <w:rPr>
          <w:i/>
        </w:rPr>
        <w:t>will not be required</w:t>
      </w:r>
      <w:r>
        <w:rPr/>
        <w:t xml:space="preserve"> to publish every instance of market power," 89 FERC at 61,603, and then added that “the New York ISO should include, in any confidential reports filed under section 388.112 of the Commission's regulations, 18 C.F.R. § 388.112 (1999), the names of any companies exercising market power, with a description of these behaviors and any sanctions applied.”  </w:t>
      </w:r>
      <w:r>
        <w:rPr>
          <w:i/>
        </w:rPr>
        <w:t>Id.</w:t>
      </w:r>
      <w:r>
        <w:rPr/>
        <w:t xml:space="preserve">  A consistent reading of both sentences is that the NYISO cannot publish the results of its market monitoring investigations to the outside world (</w:t>
      </w:r>
      <w:r>
        <w:rPr>
          <w:i/>
        </w:rPr>
        <w:t>i.e.</w:t>
      </w:r>
      <w:r>
        <w:rPr/>
        <w:t xml:space="preserve">, reports made to any entity or medium other than FERC).  Otherwise, the requirement that reports filed with FERC that discuss market abuse should be confidential would have little import.  It would be illogical for the Commission to require filings by the NYISO with the Commission that discuss instances of market abuse to be made on a confidential basis while, at the same time, allow an ISO, in lieu of a FERC report, simply to publish its findings to the public. </w:t>
      </w:r>
    </w:p>
    <w:p>
      <w:pPr>
        <w:pStyle w:val="Normal"/>
        <w:widowControl/>
        <w:spacing w:lineRule="auto" w:line="480"/>
        <w:ind w:firstLine="720" w:end="0"/>
        <w:jc w:val="both"/>
        <w:rPr/>
      </w:pPr>
      <w:r>
        <w:rPr/>
        <w:t xml:space="preserve">In order to give meaning to both sentences, </w:t>
      </w:r>
      <w:r>
        <w:rPr>
          <w:i/>
        </w:rPr>
        <w:t>see Amerada Hess Pipeline Corp</w:t>
      </w:r>
      <w:r>
        <w:rPr/>
        <w:t xml:space="preserve">, 53 FERC ¶ 61,061 at 61,191 (1990),  </w:t>
      </w:r>
      <w:r>
        <w:rPr>
          <w:i/>
        </w:rPr>
        <w:t>reh'g denied</w:t>
      </w:r>
      <w:r>
        <w:rPr/>
        <w:t xml:space="preserve">, 53 F.E.R.C. 61,383 (1990); </w:t>
      </w:r>
      <w:r>
        <w:rPr>
          <w:i/>
        </w:rPr>
        <w:t>Mid-Louisiana Gas Co. v. FERC</w:t>
      </w:r>
      <w:r>
        <w:rPr/>
        <w:t>, 780 F.2d 1238 at 1242-43 (5th Cir. 1986); s</w:t>
      </w:r>
      <w:r>
        <w:rPr>
          <w:i/>
        </w:rPr>
        <w:t>ee also Tennessee Gas Pipeline Co. v. FERC</w:t>
      </w:r>
      <w:r>
        <w:rPr/>
        <w:t xml:space="preserve">, 17 F.3d 98, 103 (5th Cir. 1994), </w:t>
      </w:r>
      <w:r>
        <w:rPr>
          <w:i/>
        </w:rPr>
        <w:t>reh'g denied,</w:t>
      </w:r>
      <w:r>
        <w:rPr/>
        <w:t xml:space="preserve"> (May 31, 1994); </w:t>
      </w:r>
      <w:r>
        <w:rPr>
          <w:i/>
        </w:rPr>
        <w:t>Sun Company, Inc. v. Brown &amp; Root Braun, Inc.</w:t>
      </w:r>
      <w:r>
        <w:rPr/>
        <w:t xml:space="preserve">, 1999 U.S. Dist LEXIS 13453 (ED Pa. 1999), this passage from </w:t>
      </w:r>
      <w:r>
        <w:rPr>
          <w:i/>
        </w:rPr>
        <w:t xml:space="preserve">NYISO </w:t>
      </w:r>
      <w:r>
        <w:rPr/>
        <w:t xml:space="preserve">must be read as prohibiting a private entity that monitors the market from unilaterally publishing its findings of abuse or gaming.  Instead, </w:t>
      </w:r>
      <w:r>
        <w:rPr>
          <w:i/>
        </w:rPr>
        <w:t>NYISO</w:t>
      </w:r>
      <w:r>
        <w:rPr/>
        <w:t xml:space="preserve"> must be read in its entirety as a directive for ISOs to file their reports dealing with alleged market abuses with the Commission under seal.  </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tabs>
          <w:tab w:val="clear" w:pos="720"/>
          <w:tab w:val="left" w:pos="-1440" w:leader="none"/>
        </w:tabs>
        <w:ind w:hanging="1440" w:start="1440" w:end="0"/>
        <w:jc w:val="both"/>
        <w:rPr>
          <w:b/>
          <w:sz w:val="26"/>
        </w:rPr>
      </w:pPr>
      <w:r>
        <w:rPr>
          <w:b/>
          <w:sz w:val="26"/>
        </w:rPr>
        <w:t>II.D.4</w:t>
        <w:tab/>
        <w:tab/>
        <w:t>Are informational demands contained in section 4.5 of the MMIP unjust and unreasonable? (Issue No. 66)</w:t>
      </w:r>
    </w:p>
    <w:p>
      <w:pPr>
        <w:pStyle w:val="Normal"/>
        <w:widowControl/>
        <w:jc w:val="both"/>
        <w:rPr/>
      </w:pPr>
      <w:r>
        <w:fldChar w:fldCharType="begin"/>
      </w:r>
      <w:r>
        <w:rPr/>
        <w:instrText xml:space="preserve"> TC "II.D.4</w:instrText>
        <w:tab/>
        <w:instrText xml:space="preserve"/>
        <w:tab/>
        <w:instrText xml:space="preserve">Are informational demands contained in section 4.5 of the MMIP unjust and unreasonable? (Issue No. 66)" \l 2 </w:instrText>
      </w:r>
      <w:r>
        <w:rPr/>
        <w:fldChar w:fldCharType="separate"/>
      </w:r>
      <w:r>
        <w:rPr/>
      </w:r>
      <w:r>
        <w:rPr/>
        <w:fldChar w:fldCharType="end"/>
      </w:r>
    </w:p>
    <w:p>
      <w:pPr>
        <w:pStyle w:val="Normal"/>
        <w:widowControl/>
        <w:spacing w:lineRule="auto" w:line="480"/>
        <w:ind w:firstLine="720" w:end="0"/>
        <w:jc w:val="both"/>
        <w:rPr/>
      </w:pPr>
      <w:r>
        <w:rPr/>
        <w:t xml:space="preserve">Section 4.5 of the MMIP allows the MSU to request from ISO participants any information determined by the MSU to be "potentially relevant," as determined by the MSU, to its market monitoring inquiry.  If the participant fails to provide the requested information, or "otherwise to cooperate" in the MSU's data collection or investigation activities, the MSU may report this failure to the CAISO CEO and Governing Board, and the CAISO may assess penalties or sanctions for such failure, or even exclude them from the CAISO market.  </w:t>
      </w:r>
      <w:r>
        <w:rPr>
          <w:i/>
        </w:rPr>
        <w:t>See</w:t>
      </w:r>
      <w:r>
        <w:rPr/>
        <w:t xml:space="preserve"> MMIP Section 4.5.2.  In other words, compliance with the CAISO's informational demands is mandatory.  </w:t>
      </w:r>
    </w:p>
    <w:p>
      <w:pPr>
        <w:pStyle w:val="Normal"/>
        <w:widowControl/>
        <w:spacing w:lineRule="auto" w:line="480"/>
        <w:ind w:firstLine="720" w:end="0"/>
        <w:jc w:val="both"/>
        <w:rPr/>
      </w:pPr>
      <w:r>
        <w:rPr/>
        <w:t xml:space="preserve">The punitive nature of the CAISO's informational demands must be compared with those approved for the New York ISO in </w:t>
      </w:r>
      <w:r>
        <w:rPr>
          <w:i/>
        </w:rPr>
        <w:t>NYISO</w:t>
      </w:r>
      <w:r>
        <w:rPr/>
        <w:t xml:space="preserve">.  There, the NYISO was required to prepare a "List of Data" that specifies the information that its Market Monitoring Unit ("MMU") may request from the market participant.  </w:t>
      </w:r>
      <w:r>
        <w:rPr>
          <w:i/>
        </w:rPr>
        <w:t>NYISO</w:t>
      </w:r>
      <w:r>
        <w:rPr/>
        <w:t xml:space="preserve">, 89 FERC at 61,603.  The List of Data "is limited to data relevant to the objectives of the MMU . . . " </w:t>
      </w:r>
      <w:r>
        <w:rPr>
          <w:i/>
        </w:rPr>
        <w:t>Id.</w:t>
      </w:r>
      <w:r>
        <w:rPr/>
        <w:t xml:space="preserve">  For example, the MMU may request that the market participant provide data generated in connection with scheduling, commitment and dispatch of generation, and the calculation of location-based marginal prices.  </w:t>
      </w:r>
      <w:r>
        <w:rPr>
          <w:i/>
        </w:rPr>
        <w:t>Id.</w:t>
      </w:r>
      <w:r>
        <w:rPr/>
        <w:t xml:space="preserve">  </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spacing w:lineRule="auto" w:line="480"/>
        <w:ind w:firstLine="720" w:end="0"/>
        <w:jc w:val="both"/>
        <w:rPr/>
      </w:pPr>
      <w:r>
        <w:rPr/>
        <w:t xml:space="preserve">The CAISO's data collection authority under the MMIP conflicts with that approved in </w:t>
      </w:r>
      <w:r>
        <w:rPr>
          <w:i/>
        </w:rPr>
        <w:t>NYISO</w:t>
      </w:r>
      <w:r>
        <w:rPr/>
        <w:t xml:space="preserve"> in two critical ways.  First, in contrast to the objectively-defined and limited data collection authority approved for New York (</w:t>
      </w:r>
      <w:r>
        <w:rPr>
          <w:i/>
        </w:rPr>
        <w:t>i.e.</w:t>
      </w:r>
      <w:r>
        <w:rPr/>
        <w:t>,, the “List of Data”), the CAISO's authority under its MMIP 4.5 does not establish any parameters as to the scope of its discovery powers.</w:t>
      </w:r>
      <w:r>
        <w:rPr>
          <w:rStyle w:val="FootnoteCharacters"/>
          <w:rStyle w:val="FootnoteReference"/>
          <w:vertAlign w:val="superscript"/>
        </w:rPr>
        <w:footnoteReference w:id="13"/>
      </w:r>
      <w:r>
        <w:rPr/>
        <w:t xml:space="preserve">  Furthermore, the MMIP places no concrete limits on the materiality of the information requested.  Instead, MMIP 4.5.1 requires only that the MSU's information request be "potentially relevant" to its inquiry.  Moreover, the ominous requirement of Section 4.5.2 that market participants are "otherwise to cooperate" with the MSU data collection activities gives the MSU open-ended, subjective authority to compel virtually any market data that it deems relevant.  This flies in the face of the Commission's policy, as set forth in </w:t>
      </w:r>
      <w:r>
        <w:rPr>
          <w:i/>
        </w:rPr>
        <w:t>NYISO</w:t>
      </w:r>
      <w:r>
        <w:rPr/>
        <w:t xml:space="preserve">, to allow ISOs and their monitoring units to conduct carefully controlled and limited discovery. </w:t>
      </w:r>
    </w:p>
    <w:p>
      <w:pPr>
        <w:pStyle w:val="Normal"/>
        <w:widowControl/>
        <w:spacing w:lineRule="auto" w:line="480"/>
        <w:ind w:firstLine="720" w:end="0"/>
        <w:jc w:val="both"/>
        <w:rPr/>
      </w:pPr>
      <w:r>
        <w:rPr/>
        <w:t xml:space="preserve">Second, compliance with the NYISO’s discovery requests is in the first instance entirely </w:t>
      </w:r>
      <w:r>
        <w:rPr>
          <w:u w:val="single"/>
        </w:rPr>
        <w:t>voluntary</w:t>
      </w:r>
      <w:r>
        <w:rPr/>
        <w:t>.  If the New York's MMU's asks for data that the party receiving the requests believes, in its discretion, to be "unduly burdensome, irrelevant to the purpose of the plan, or commercially sensitive," the market participant need not comply.</w:t>
      </w:r>
      <w:r>
        <w:rPr>
          <w:rStyle w:val="FootnoteCharacters"/>
          <w:rStyle w:val="FootnoteReference"/>
          <w:vertAlign w:val="superscript"/>
        </w:rPr>
        <w:footnoteReference w:id="14"/>
      </w:r>
      <w:r>
        <w:rPr/>
        <w:t xml:space="preserve">  </w:t>
      </w:r>
      <w:r>
        <w:rPr>
          <w:i/>
        </w:rPr>
        <w:t>NYISO</w:t>
      </w:r>
      <w:r>
        <w:rPr/>
        <w:t>, 89 FERC at 61,603.  By contrast, in California, compliance with the CAISO's MMIP data requests is mandatory.  Under Section 4.5.2, if a market participant in California fails to comply with an informational demand of the MSU, that party will be subject to the "imposition of such penalties or sanctions as are permitted under the ISO Tariff," including the "</w:t>
      </w:r>
      <w:r>
        <w:rPr>
          <w:u w:val="single"/>
        </w:rPr>
        <w:t>possible exclusion from the ISO Markets or termination or any relevant ISO agreements or certifications.</w:t>
      </w:r>
      <w:r>
        <w:rPr/>
        <w:t xml:space="preserve">" (Emphasis added)  </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spacing w:lineRule="auto" w:line="480"/>
        <w:ind w:firstLine="720" w:end="0"/>
        <w:jc w:val="both"/>
        <w:rPr/>
      </w:pPr>
      <w:r>
        <w:rPr/>
        <w:t xml:space="preserve">As can be seen, in </w:t>
      </w:r>
      <w:r>
        <w:rPr>
          <w:i/>
        </w:rPr>
        <w:t>NYISO</w:t>
      </w:r>
      <w:r>
        <w:rPr/>
        <w:t xml:space="preserve">, the Commission adopted a policy that is founded on the essential proposition that the right to compel data from market participants is one that belongs only to the  Commission itself -- and not to non-governmental third-parties like the CAISO.  The reasons for this are obvious.  Only the Commission has the objectivity and expertise to fairly perform an informational gathering function in a manner consistent with due process.  Perhaps even more important, only the Commission can be assured to be guided by a desire to promote the public interest, a mandate that no private entity -- which is motivated by its own promotion and self-aggrandizement -- can claim.  The CAISO, while a non-profit corporation, is at bottom motivated by its own self-perpetuation, and not by serving the public interest to the extent the two goals diverge.  Thus, only the Commission has been entrusted by Congress with the right to impose discovery obligations on the public.  While the Commission will allow ISOs to conduct discovery </w:t>
      </w:r>
      <w:r>
        <w:rPr>
          <w:u w:val="single"/>
        </w:rPr>
        <w:t>on a voluntary basis</w:t>
      </w:r>
      <w:r>
        <w:rPr/>
        <w:t xml:space="preserve"> provided the parameters of the discovery are objectively established in advance, the Commission made plain in </w:t>
      </w:r>
      <w:r>
        <w:rPr>
          <w:i/>
        </w:rPr>
        <w:t>NYISO</w:t>
      </w:r>
      <w:r>
        <w:rPr/>
        <w:t xml:space="preserve"> that it was not affording ISOs with mandatory discovery authority.        </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spacing w:lineRule="auto" w:line="480"/>
        <w:ind w:firstLine="720" w:end="0"/>
        <w:jc w:val="both"/>
        <w:rPr/>
      </w:pPr>
      <w:r>
        <w:rPr/>
        <w:t>Indeed, allowing the CAISO to have mandatory discovery authority would exceed the limits of the discovery authority that the Commission may delegate to third-parties. Under the Administrative Procedure Act ("APA"), an agency may not engage in an investigative act or demand for documents, except as authorized by law. 5 U.S.C. §555(c) (1994).  Under the FPA, only the Commission has the power to conduct broad investigations for possible violations of the FPA.</w:t>
      </w:r>
      <w:r>
        <w:rPr>
          <w:rStyle w:val="FootnoteCharacters"/>
          <w:rStyle w:val="FootnoteReference"/>
          <w:vertAlign w:val="superscript"/>
        </w:rPr>
        <w:footnoteReference w:id="15"/>
      </w:r>
      <w:r>
        <w:rPr/>
        <w:t xml:space="preserve">  For the reasons previously discussed, third-parties are not granted the ability under the FPA to conduct the investigations vested by Congress in the Commission thereunder.  Nor is there any provision in the Commission's regulations that permits the Commission to delegate this responsibility. </w:t>
      </w:r>
      <w:r>
        <w:rPr>
          <w:i/>
        </w:rPr>
        <w:t>See</w:t>
      </w:r>
      <w:r>
        <w:rPr/>
        <w:t xml:space="preserve"> 18 C.F.R. §§1b.8; 1b.10; 1b.13; 1b.14 (describing the Commission's authority to initiate and conduct formal investigations, and require production of documents).</w:t>
      </w:r>
      <w:r>
        <w:rPr>
          <w:rStyle w:val="FootnoteCharacters"/>
          <w:rStyle w:val="FootnoteReference"/>
          <w:vertAlign w:val="superscript"/>
        </w:rPr>
        <w:footnoteReference w:id="16"/>
      </w:r>
      <w:r>
        <w:rPr/>
        <w:t xml:space="preserve">   Thus, the APA prohibits the delegation of open-ended and mandatory discovery power to non-governmental entities like the CAISO.</w:t>
      </w:r>
    </w:p>
    <w:p>
      <w:pPr>
        <w:pStyle w:val="Normal"/>
        <w:widowControl/>
        <w:tabs>
          <w:tab w:val="clear" w:pos="720"/>
          <w:tab w:val="center" w:pos="4680" w:leader="none"/>
        </w:tabs>
        <w:jc w:val="both"/>
        <w:rPr/>
      </w:pPr>
      <w:r>
        <w:rPr/>
        <w:tab/>
      </w:r>
      <w:r>
        <w:rPr>
          <w:b/>
          <w:sz w:val="28"/>
        </w:rPr>
        <w:t>III.</w:t>
      </w:r>
    </w:p>
    <w:p>
      <w:pPr>
        <w:pStyle w:val="Normal"/>
        <w:widowControl/>
        <w:tabs>
          <w:tab w:val="clear" w:pos="720"/>
          <w:tab w:val="center" w:pos="4680" w:leader="none"/>
        </w:tabs>
        <w:jc w:val="both"/>
        <w:rPr>
          <w:b/>
          <w:sz w:val="28"/>
        </w:rPr>
      </w:pPr>
      <w:r>
        <w:rPr>
          <w:b/>
          <w:sz w:val="28"/>
        </w:rPr>
        <w:tab/>
        <w:t>CONCLUSION</w:t>
      </w:r>
    </w:p>
    <w:p>
      <w:pPr>
        <w:pStyle w:val="Normal"/>
        <w:widowControl/>
        <w:jc w:val="both"/>
        <w:rPr/>
      </w:pPr>
      <w:r>
        <w:fldChar w:fldCharType="begin"/>
      </w:r>
      <w:r>
        <w:rPr/>
        <w:instrText xml:space="preserve"> TC "</w:instrText>
        <w:tab/>
        <w:instrText xml:space="preserve">III.</w:instrText>
        <w:tab/>
        <w:instrText xml:space="preserve">CONCLUSION" \l 1 </w:instrText>
      </w:r>
      <w:r>
        <w:rPr/>
        <w:fldChar w:fldCharType="separate"/>
      </w:r>
      <w:r>
        <w:rPr/>
      </w:r>
      <w:r>
        <w:rPr/>
        <w:fldChar w:fldCharType="end"/>
      </w:r>
    </w:p>
    <w:p>
      <w:pPr>
        <w:pStyle w:val="Normal"/>
        <w:widowControl/>
        <w:spacing w:lineRule="auto" w:line="480"/>
        <w:ind w:firstLine="720" w:end="0"/>
        <w:jc w:val="both"/>
        <w:rPr/>
      </w:pPr>
      <w:r>
        <w:rPr/>
        <w:t>For the foregoing reasons, WPTF, EPMI and Dynegy request the Commission to modify and eliminate of the CAISO's MMIP consistent with the foregoing.</w:t>
      </w:r>
    </w:p>
    <w:p>
      <w:pPr>
        <w:pStyle w:val="Normal"/>
        <w:widowControl/>
        <w:ind w:firstLine="5040" w:end="0"/>
        <w:jc w:val="both"/>
        <w:rPr/>
      </w:pPr>
      <w:r>
        <w:rPr/>
        <w:t>Respectfully submitted,</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5040" w:end="0"/>
        <w:jc w:val="both"/>
        <w:rPr/>
      </w:pPr>
      <w:r>
        <w:rPr/>
        <w:t>__________________________________</w:t>
      </w:r>
    </w:p>
    <w:p>
      <w:pPr>
        <w:pStyle w:val="Normal"/>
        <w:widowControl/>
        <w:ind w:firstLine="5040" w:end="0"/>
        <w:jc w:val="both"/>
        <w:rPr/>
      </w:pPr>
      <w:r>
        <w:rPr/>
        <w:t>Ronald N. Carroll</w:t>
      </w:r>
    </w:p>
    <w:p>
      <w:pPr>
        <w:pStyle w:val="Normal"/>
        <w:widowControl/>
        <w:ind w:firstLine="5040" w:end="0"/>
        <w:jc w:val="both"/>
        <w:rPr/>
      </w:pPr>
      <w:r>
        <w:rPr/>
        <w:t>Michael G. Henry</w:t>
      </w:r>
    </w:p>
    <w:p>
      <w:pPr>
        <w:pStyle w:val="Normal"/>
        <w:widowControl/>
        <w:ind w:firstLine="5040" w:end="0"/>
        <w:jc w:val="both"/>
        <w:rPr/>
      </w:pPr>
      <w:r>
        <w:rPr/>
        <w:t>Bracewell &amp; Patterson, L.L.C.</w:t>
      </w:r>
    </w:p>
    <w:p>
      <w:pPr>
        <w:pStyle w:val="Normal"/>
        <w:widowControl/>
        <w:ind w:firstLine="5040" w:end="0"/>
        <w:jc w:val="both"/>
        <w:rPr/>
      </w:pPr>
      <w:r>
        <w:rPr/>
        <w:t>2000 K Street, NW, Suite 500</w:t>
      </w:r>
    </w:p>
    <w:p>
      <w:pPr>
        <w:pStyle w:val="Normal"/>
        <w:widowControl/>
        <w:ind w:firstLine="5040" w:end="0"/>
        <w:jc w:val="both"/>
        <w:rPr/>
      </w:pPr>
      <w:r>
        <w:rPr/>
        <w:t>Washington, DC   20006-1872</w:t>
      </w:r>
    </w:p>
    <w:p>
      <w:pPr>
        <w:pStyle w:val="Normal"/>
        <w:widowControl/>
        <w:ind w:firstLine="5040" w:end="0"/>
        <w:jc w:val="both"/>
        <w:rPr/>
      </w:pPr>
      <w:r>
        <w:rPr/>
        <w:t>(202) 828-5800</w:t>
      </w:r>
    </w:p>
    <w:p>
      <w:pPr>
        <w:pStyle w:val="Normal"/>
        <w:widowControl/>
        <w:jc w:val="both"/>
        <w:rPr/>
      </w:pPr>
      <w:r>
        <w:rPr/>
      </w:r>
    </w:p>
    <w:p>
      <w:pPr>
        <w:pStyle w:val="Normal"/>
        <w:widowControl/>
        <w:ind w:start="5040" w:end="0"/>
        <w:jc w:val="both"/>
        <w:rPr/>
      </w:pPr>
      <w:r>
        <w:rPr/>
        <w:t xml:space="preserve">Counsel for </w:t>
      </w:r>
    </w:p>
    <w:p>
      <w:pPr>
        <w:pStyle w:val="Normal"/>
        <w:widowControl/>
        <w:ind w:firstLine="5040" w:end="0"/>
        <w:jc w:val="both"/>
        <w:rPr/>
      </w:pPr>
      <w:r>
        <w:rPr/>
        <w:t>Western Power Trading Forum, and</w:t>
      </w:r>
    </w:p>
    <w:p>
      <w:pPr>
        <w:pStyle w:val="Normal"/>
        <w:widowControl/>
        <w:ind w:firstLine="5040" w:end="0"/>
        <w:jc w:val="both"/>
        <w:rPr/>
      </w:pPr>
      <w:r>
        <w:rPr/>
        <w:t xml:space="preserve">Enron Power Marketing, Inc. </w:t>
      </w:r>
    </w:p>
    <w:p>
      <w:pPr>
        <w:pStyle w:val="Normal"/>
        <w:widowControl/>
        <w:jc w:val="both"/>
        <w:rPr/>
      </w:pPr>
      <w:r>
        <w:rPr/>
      </w:r>
    </w:p>
    <w:p>
      <w:pPr>
        <w:pStyle w:val="Normal"/>
        <w:widowControl/>
        <w:ind w:firstLine="720" w:end="0"/>
        <w:jc w:val="both"/>
        <w:rPr/>
      </w:pPr>
      <w:r>
        <w:rPr/>
      </w:r>
    </w:p>
    <w:p>
      <w:pPr>
        <w:pStyle w:val="Normal"/>
        <w:widowControl/>
        <w:ind w:firstLine="5040" w:end="0"/>
        <w:jc w:val="both"/>
        <w:rPr/>
      </w:pPr>
      <w:r>
        <w:rPr/>
        <w:t>Daniel A. King</w:t>
      </w:r>
    </w:p>
    <w:p>
      <w:pPr>
        <w:pStyle w:val="Normal"/>
        <w:widowControl/>
        <w:ind w:firstLine="5040" w:end="0"/>
        <w:jc w:val="both"/>
        <w:rPr/>
      </w:pPr>
      <w:r>
        <w:rPr/>
        <w:t>Dynegy Power Marketing, Inc.</w:t>
      </w:r>
    </w:p>
    <w:p>
      <w:pPr>
        <w:pStyle w:val="Normal"/>
        <w:widowControl/>
        <w:ind w:firstLine="5040" w:end="0"/>
        <w:jc w:val="both"/>
        <w:rPr/>
      </w:pPr>
      <w:r>
        <w:rPr/>
        <w:t>Director and Regulatory Counsel</w:t>
      </w:r>
    </w:p>
    <w:p>
      <w:pPr>
        <w:pStyle w:val="Normal"/>
        <w:widowControl/>
        <w:ind w:firstLine="2880" w:start="2160" w:end="0"/>
        <w:jc w:val="both"/>
        <w:rPr/>
      </w:pPr>
      <w:r>
        <w:rPr/>
        <w:t xml:space="preserve">805 15th St., N.W., Ste. 510-A </w:t>
      </w:r>
    </w:p>
    <w:p>
      <w:pPr>
        <w:pStyle w:val="Normal"/>
        <w:widowControl/>
        <w:ind w:firstLine="5040" w:end="0"/>
        <w:jc w:val="both"/>
        <w:rPr/>
      </w:pPr>
      <w:r>
        <w:rPr/>
        <w:t>Washington, D.C.  20005</w:t>
      </w:r>
    </w:p>
    <w:p>
      <w:pPr>
        <w:pStyle w:val="Normal"/>
        <w:widowControl/>
        <w:ind w:firstLine="5040" w:end="0"/>
        <w:jc w:val="both"/>
        <w:rPr/>
      </w:pPr>
      <w:r>
        <w:rPr/>
        <w:t>(202) 842-3999</w:t>
      </w:r>
    </w:p>
    <w:p>
      <w:pPr>
        <w:pStyle w:val="Normal"/>
        <w:widowControl/>
        <w:jc w:val="both"/>
        <w:rPr/>
      </w:pPr>
      <w:r>
        <w:rPr/>
      </w:r>
    </w:p>
    <w:p>
      <w:pPr>
        <w:pStyle w:val="Normal"/>
        <w:widowControl/>
        <w:jc w:val="both"/>
        <w:rPr/>
      </w:pPr>
      <w:r>
        <w:rPr/>
        <w:t>.</w:t>
      </w:r>
    </w:p>
    <w:p>
      <w:pPr>
        <w:pStyle w:val="Normal"/>
        <w:widowControl/>
        <w:jc w:val="both"/>
        <w:rPr/>
      </w:pPr>
      <w:r>
        <w:rPr/>
      </w:r>
    </w:p>
    <w:p>
      <w:pPr>
        <w:pStyle w:val="Normal"/>
        <w:widowControl/>
        <w:jc w:val="both"/>
        <w:rPr/>
      </w:pPr>
      <w:r>
        <w:rPr/>
        <w:t>February 14, 2000</w:t>
      </w:r>
    </w:p>
    <w:p>
      <w:pPr>
        <w:sectPr>
          <w:footnotePr>
            <w:numFmt w:val="decimal"/>
          </w:footnotePr>
          <w:type w:val="continuous"/>
          <w:pgSz w:w="12240" w:h="15840"/>
          <w:pgMar w:left="1440" w:right="1440" w:gutter="0" w:header="0" w:top="1440" w:footer="0" w:bottom="576"/>
          <w:formProt w:val="false"/>
          <w:textDirection w:val="lrTb"/>
          <w:docGrid w:type="default" w:linePitch="360" w:charSpace="0"/>
        </w:sectPr>
      </w:pPr>
    </w:p>
    <w:p>
      <w:pPr>
        <w:pStyle w:val="Normal"/>
        <w:widowControl/>
        <w:jc w:val="both"/>
        <w:rPr/>
      </w:pPr>
      <w:r>
        <w:rPr/>
      </w:r>
    </w:p>
    <w:p>
      <w:pPr>
        <w:pStyle w:val="Normal"/>
        <w:widowControl/>
        <w:tabs>
          <w:tab w:val="clear" w:pos="720"/>
          <w:tab w:val="center" w:pos="4680" w:leader="none"/>
        </w:tabs>
        <w:jc w:val="both"/>
        <w:rPr>
          <w:b/>
        </w:rPr>
      </w:pPr>
      <w:r>
        <w:rPr>
          <w:b/>
        </w:rPr>
        <w:tab/>
        <w:t>CERTIFICATE OF SERVICE</w:t>
      </w:r>
    </w:p>
    <w:p>
      <w:pPr>
        <w:pStyle w:val="Normal"/>
        <w:widowControl/>
        <w:jc w:val="both"/>
        <w:rPr/>
      </w:pPr>
      <w:r>
        <w:rPr/>
      </w:r>
    </w:p>
    <w:p>
      <w:pPr>
        <w:pStyle w:val="Normal"/>
        <w:widowControl/>
        <w:ind w:firstLine="720" w:end="0"/>
        <w:jc w:val="both"/>
        <w:rPr/>
      </w:pPr>
      <w:r>
        <w:rPr/>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widowControl/>
        <w:jc w:val="both"/>
        <w:rPr/>
      </w:pPr>
      <w:r>
        <w:rPr/>
      </w:r>
    </w:p>
    <w:p>
      <w:pPr>
        <w:pStyle w:val="Normal"/>
        <w:widowControl/>
        <w:ind w:firstLine="720" w:end="0"/>
        <w:jc w:val="both"/>
        <w:rPr/>
      </w:pPr>
      <w:r>
        <w:rPr/>
        <w:t>Dated at Washington, D.C., this 14th day of February 2000.</w:t>
      </w:r>
    </w:p>
    <w:p>
      <w:pPr>
        <w:pStyle w:val="Normal"/>
        <w:widowControl/>
        <w:jc w:val="both"/>
        <w:rPr/>
      </w:pPr>
      <w:r>
        <w:rPr/>
      </w:r>
    </w:p>
    <w:p>
      <w:pPr>
        <w:pStyle w:val="Normal"/>
        <w:widowControl/>
        <w:jc w:val="both"/>
        <w:rPr/>
      </w:pPr>
      <w:r>
        <w:rPr/>
      </w:r>
    </w:p>
    <w:p>
      <w:pPr>
        <w:pStyle w:val="Normal"/>
        <w:widowControl/>
        <w:ind w:firstLine="4320" w:end="0"/>
        <w:jc w:val="both"/>
        <w:rPr/>
      </w:pPr>
      <w:r>
        <w:rPr/>
        <w:t>__________________________________</w:t>
      </w:r>
    </w:p>
    <w:p>
      <w:pPr>
        <w:pStyle w:val="Normal"/>
        <w:widowControl/>
        <w:ind w:firstLine="5040" w:end="0"/>
        <w:jc w:val="both"/>
        <w:rPr>
          <w:rFonts w:ascii="Space Toaster" w:hAnsi="Space Toaster" w:cs="Space Toaster"/>
        </w:rPr>
      </w:pPr>
      <w:r>
        <w:rPr/>
        <w:t xml:space="preserve">      </w:t>
      </w:r>
      <w:r>
        <w:rPr/>
        <w:t>Ronald N. Carroll</w:t>
      </w:r>
    </w:p>
    <w:p>
      <w:pPr>
        <w:pStyle w:val="Normal"/>
        <w:widowControl/>
        <w:jc w:val="both"/>
        <w:rPr>
          <w:rFonts w:ascii="Space Toaster" w:hAnsi="Space Toaster" w:cs="Space Toaster"/>
        </w:rPr>
      </w:pPr>
      <w:r>
        <w:rPr>
          <w:rFonts w:cs="Space Toaster" w:ascii="Space Toaster" w:hAnsi="Space Toaster"/>
        </w:rPr>
      </w:r>
    </w:p>
    <w:p>
      <w:pPr>
        <w:pStyle w:val="Normal"/>
        <w:widowControl/>
        <w:jc w:val="both"/>
        <w:rPr>
          <w:rFonts w:ascii="Space Toaster" w:hAnsi="Space Toaster" w:cs="Space Toaster"/>
        </w:rPr>
      </w:pPr>
      <w:r>
        <w:rPr>
          <w:rFonts w:cs="Space Toaster" w:ascii="Space Toaster" w:hAnsi="Space Toaster"/>
        </w:rPr>
      </w:r>
    </w:p>
    <w:p>
      <w:pPr>
        <w:pStyle w:val="Normal"/>
        <w:widowControl/>
        <w:jc w:val="both"/>
        <w:rPr>
          <w:rFonts w:ascii="Space Toaster" w:hAnsi="Space Toaster" w:cs="Space Toaster"/>
        </w:rPr>
      </w:pPr>
      <w:r>
        <w:rPr>
          <w:rFonts w:cs="Space Toaster" w:ascii="Space Toaster" w:hAnsi="Space Toaster"/>
        </w:rPr>
      </w:r>
    </w:p>
    <w:p>
      <w:pPr>
        <w:sectPr>
          <w:footerReference w:type="default" r:id="rId2"/>
          <w:footnotePr>
            <w:numFmt w:val="decimal"/>
          </w:footnotePr>
          <w:type w:val="nextPage"/>
          <w:pgSz w:w="12240" w:h="15840"/>
          <w:pgMar w:left="1440" w:right="1440" w:gutter="0" w:header="0" w:top="1440" w:footer="576" w:bottom="632"/>
          <w:pgNumType w:fmt="decimal"/>
          <w:formProt w:val="false"/>
          <w:textDirection w:val="lrTb"/>
          <w:docGrid w:type="default" w:linePitch="360" w:charSpace="0"/>
        </w:sectPr>
      </w:pPr>
    </w:p>
    <w:sdt>
      <w:sdtPr>
        <w:docPartObj>
          <w:docPartGallery w:val="Table of Contents"/>
          <w:docPartUnique w:val="true"/>
        </w:docPartObj>
      </w:sdtPr>
      <w:sdtContent>
        <w:p>
          <w:pPr>
            <w:pStyle w:val="Normal"/>
            <w:widowControl/>
            <w:tabs>
              <w:tab w:val="clear" w:pos="720"/>
              <w:tab w:val="center" w:pos="4680" w:leader="none"/>
            </w:tabs>
            <w:jc w:val="both"/>
            <w:rPr/>
          </w:pPr>
          <w:r>
            <w:fldChar w:fldCharType="begin"/>
          </w:r>
          <w:r>
            <w:rPr>
              <w:rFonts w:cs="Space Toaster" w:ascii="Space Toaster" w:hAnsi="Space Toaster"/>
            </w:rPr>
            <w:instrText xml:space="preserve">TOC \f</w:instrText>
          </w:r>
          <w:r>
            <w:rPr>
              <w:rFonts w:cs="Space Toaster" w:ascii="Space Toaster" w:hAnsi="Space Toaster"/>
            </w:rPr>
            <w:fldChar w:fldCharType="separate"/>
          </w:r>
          <w:r>
            <w:rPr>
              <w:rFonts w:cs="Space Toaster" w:ascii="Space Toaster" w:hAnsi="Space Toaster"/>
            </w:rPr>
            <w:tab/>
          </w:r>
          <w:r>
            <w:rPr>
              <w:rFonts w:cs="Space Toaster" w:ascii="Space Toaster" w:hAnsi="Space Toaster"/>
              <w:b/>
              <w:u w:val="single"/>
            </w:rPr>
            <w:t>TABLE OF CONTENTS</w:t>
          </w:r>
        </w:p>
        <w:p>
          <w:pPr>
            <w:pStyle w:val="Normal"/>
            <w:widowControl/>
            <w:jc w:val="both"/>
            <w:rPr>
              <w:rFonts w:ascii="Space Toaster" w:hAnsi="Space Toaster" w:cs="Space Toaster"/>
              <w:b/>
              <w:u w:val="single"/>
            </w:rPr>
          </w:pPr>
          <w:r>
            <w:rPr>
              <w:rFonts w:cs="Space Toaster" w:ascii="Space Toaster" w:hAnsi="Space Toaster"/>
              <w:b/>
              <w:u w:val="single"/>
            </w:rPr>
          </w:r>
        </w:p>
        <w:p>
          <w:pPr>
            <w:pStyle w:val="Normal"/>
            <w:widowControl/>
            <w:tabs>
              <w:tab w:val="clear" w:pos="720"/>
              <w:tab w:val="right" w:pos="9360" w:leader="none"/>
            </w:tabs>
            <w:jc w:val="both"/>
            <w:rPr>
              <w:rFonts w:ascii="Space Toaster" w:hAnsi="Space Toaster" w:cs="Space Toaster"/>
            </w:rPr>
          </w:pPr>
          <w:r>
            <w:rPr>
              <w:rFonts w:cs="Space Toaster" w:ascii="Space Toaster" w:hAnsi="Space Toaster"/>
              <w:b/>
            </w:rPr>
            <w:tab/>
          </w:r>
          <w:r>
            <w:rPr>
              <w:rFonts w:cs="Space Toaster" w:ascii="Space Toaster" w:hAnsi="Space Toaster"/>
              <w:b/>
              <w:u w:val="single"/>
            </w:rPr>
            <w:t>Page</w:t>
          </w:r>
        </w:p>
        <w:p>
          <w:pPr>
            <w:pStyle w:val="TOC1"/>
            <w:widowControl/>
            <w:tabs>
              <w:tab w:val="left" w:pos="-1440" w:leader="none"/>
              <w:tab w:val="left" w:pos="-720" w:leader="none"/>
              <w:tab w:val="left" w:pos="0" w:leader="none"/>
              <w:tab w:val="left" w:pos="720" w:leader="none"/>
              <w:tab w:val="right" w:pos="9360" w:leader="dot"/>
            </w:tabs>
            <w:jc w:val="both"/>
            <w:rPr>
              <w:rFonts w:ascii="Space Toaster" w:hAnsi="Space Toaster" w:cs="Space Toaster"/>
            </w:rPr>
          </w:pPr>
          <w:r>
            <w:rPr>
              <w:rFonts w:cs="Space Toaster" w:ascii="Space Toaster" w:hAnsi="Space Toaster"/>
            </w:rPr>
            <w:t>I.</w:t>
            <w:tab/>
            <w:t>EXECUTIVE SUMMARY</w:t>
            <w:tab/>
            <w:t>1</w:t>
          </w:r>
        </w:p>
        <w:p>
          <w:pPr>
            <w:pStyle w:val="Normal"/>
            <w:widowControl/>
            <w:jc w:val="both"/>
            <w:rPr>
              <w:rFonts w:ascii="Space Toaster" w:hAnsi="Space Toaster" w:cs="Space Toaster"/>
            </w:rPr>
          </w:pPr>
          <w:r>
            <w:rPr>
              <w:rFonts w:cs="Space Toaster" w:ascii="Space Toaster" w:hAnsi="Space Toaster"/>
            </w:rPr>
          </w:r>
        </w:p>
        <w:p>
          <w:pPr>
            <w:pStyle w:val="TOC1"/>
            <w:widowControl/>
            <w:tabs>
              <w:tab w:val="left" w:pos="-1440" w:leader="none"/>
              <w:tab w:val="left" w:pos="-720" w:leader="none"/>
              <w:tab w:val="left" w:pos="0" w:leader="none"/>
              <w:tab w:val="left" w:pos="720" w:leader="none"/>
              <w:tab w:val="right" w:pos="9360" w:leader="dot"/>
            </w:tabs>
            <w:jc w:val="both"/>
            <w:rPr>
              <w:rFonts w:ascii="Space Toaster" w:hAnsi="Space Toaster" w:cs="Space Toaster"/>
            </w:rPr>
          </w:pPr>
          <w:r>
            <w:rPr>
              <w:rFonts w:cs="Space Toaster" w:ascii="Space Toaster" w:hAnsi="Space Toaster"/>
            </w:rPr>
            <w:t>II.</w:t>
            <w:tab/>
            <w:t>ARGUMENT</w:t>
            <w:tab/>
            <w:t>4</w:t>
          </w:r>
        </w:p>
        <w:p>
          <w:pPr>
            <w:pStyle w:val="Normal"/>
            <w:widowControl/>
            <w:jc w:val="both"/>
            <w:rPr>
              <w:rFonts w:ascii="Space Toaster" w:hAnsi="Space Toaster" w:cs="Space Toaster"/>
            </w:rPr>
          </w:pPr>
          <w:r>
            <w:rPr>
              <w:rFonts w:cs="Space Toaster" w:ascii="Space Toaster" w:hAnsi="Space Toaster"/>
            </w:rPr>
          </w:r>
        </w:p>
        <w:p>
          <w:pPr>
            <w:pStyle w:val="TOC2"/>
            <w:widowControl/>
            <w:tabs>
              <w:tab w:val="left" w:pos="-1440" w:leader="none"/>
              <w:tab w:val="left" w:pos="-720" w:leader="none"/>
              <w:tab w:val="left" w:pos="0" w:leader="none"/>
              <w:tab w:val="left" w:pos="720" w:leader="none"/>
              <w:tab w:val="left" w:pos="1440" w:leader="none"/>
              <w:tab w:val="right" w:pos="9360" w:leader="dot"/>
            </w:tabs>
            <w:ind w:hanging="720" w:start="1440" w:end="0"/>
            <w:jc w:val="both"/>
            <w:rPr>
              <w:rFonts w:ascii="Space Toaster" w:hAnsi="Space Toaster" w:cs="Space Toaster"/>
            </w:rPr>
          </w:pPr>
          <w:r>
            <w:rPr>
              <w:rFonts w:cs="Space Toaster" w:ascii="Space Toaster" w:hAnsi="Space Toaster"/>
            </w:rPr>
            <w:t>II.D</w:t>
            <w:tab/>
            <w:t>MARKET MONITORING</w:t>
            <w:tab/>
            <w:t>4</w:t>
          </w:r>
        </w:p>
        <w:p>
          <w:pPr>
            <w:pStyle w:val="Normal"/>
            <w:widowControl/>
            <w:jc w:val="both"/>
            <w:rPr>
              <w:rFonts w:ascii="Space Toaster" w:hAnsi="Space Toaster" w:cs="Space Toaster"/>
            </w:rPr>
          </w:pPr>
          <w:r>
            <w:rPr>
              <w:rFonts w:cs="Space Toaster" w:ascii="Space Toaster" w:hAnsi="Space Toaster"/>
            </w:rPr>
          </w:r>
        </w:p>
        <w:p>
          <w:pPr>
            <w:pStyle w:val="TOC2"/>
            <w:widowControl/>
            <w:tabs>
              <w:tab w:val="left" w:pos="-1440" w:leader="none"/>
              <w:tab w:val="left" w:pos="-720" w:leader="none"/>
              <w:tab w:val="left" w:pos="0" w:leader="none"/>
              <w:tab w:val="left" w:pos="720" w:leader="none"/>
              <w:tab w:val="left" w:pos="1440" w:leader="none"/>
              <w:tab w:val="right" w:pos="9360" w:leader="dot"/>
            </w:tabs>
            <w:ind w:hanging="720" w:start="1440" w:end="720"/>
            <w:jc w:val="both"/>
            <w:rPr>
              <w:rFonts w:ascii="Space Toaster" w:hAnsi="Space Toaster" w:cs="Space Toaster"/>
            </w:rPr>
          </w:pPr>
          <w:r>
            <w:rPr>
              <w:rFonts w:cs="Space Toaster" w:ascii="Space Toaster" w:hAnsi="Space Toaster"/>
            </w:rPr>
            <w:t>II.D.1</w:t>
            <w:tab/>
            <w:t>Whether the ISO’s role in market monitoring should be limited to data collection and monitoring only, but should not include an enforcement or police function? (Issue No. 631)</w:t>
            <w:tab/>
            <w:t>5</w:t>
          </w:r>
        </w:p>
        <w:p>
          <w:pPr>
            <w:pStyle w:val="TOC3"/>
            <w:widowControl/>
            <w:jc w:val="both"/>
            <w:rPr>
              <w:rFonts w:ascii="Space Toaster" w:hAnsi="Space Toaster" w:cs="Space Toaster"/>
            </w:rPr>
          </w:pPr>
          <w:r>
            <w:rPr>
              <w:rFonts w:cs="Space Toaster" w:ascii="Space Toaster" w:hAnsi="Space Toaster"/>
            </w:rPr>
          </w:r>
        </w:p>
        <w:p>
          <w:pPr>
            <w:pStyle w:val="TOC3"/>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2160" w:end="720"/>
            <w:jc w:val="both"/>
            <w:rPr>
              <w:rFonts w:ascii="Space Toaster" w:hAnsi="Space Toaster" w:cs="Space Toaster"/>
            </w:rPr>
          </w:pPr>
          <w:r>
            <w:rPr>
              <w:rFonts w:cs="Space Toaster" w:ascii="Space Toaster" w:hAnsi="Space Toaster"/>
            </w:rPr>
            <w:t>A.</w:t>
            <w:tab/>
            <w:t>The Federal Power Act Forbids the Delegation of Market Enforcement and Sanctioning Power to Non-Governmental Third-Parties Like the CAISO, Whose Market Monitoring Function Must be Limited to Data Collection and Reporting</w:t>
            <w:tab/>
            <w:t>7</w:t>
          </w:r>
        </w:p>
        <w:p>
          <w:pPr>
            <w:pStyle w:val="Normal"/>
            <w:widowControl/>
            <w:jc w:val="both"/>
            <w:rPr>
              <w:rFonts w:ascii="Space Toaster" w:hAnsi="Space Toaster" w:cs="Space Toaster"/>
            </w:rPr>
          </w:pPr>
          <w:r>
            <w:rPr>
              <w:rFonts w:cs="Space Toaster" w:ascii="Space Toaster" w:hAnsi="Space Toaster"/>
            </w:rPr>
          </w:r>
        </w:p>
        <w:p>
          <w:pPr>
            <w:pStyle w:val="TOC4"/>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hanging="720" w:start="2880" w:end="720"/>
            <w:jc w:val="both"/>
            <w:rPr>
              <w:rFonts w:ascii="Space Toaster" w:hAnsi="Space Toaster" w:cs="Space Toaster"/>
            </w:rPr>
          </w:pPr>
          <w:r>
            <w:rPr>
              <w:rFonts w:cs="Space Toaster" w:ascii="Space Toaster" w:hAnsi="Space Toaster"/>
            </w:rPr>
            <w:t>1.</w:t>
            <w:tab/>
            <w:t>The FPA Does Not Provide that the Commission Can Delegate its Enforcement and Sanctioning Powers to a Non-Government Entity</w:t>
            <w:tab/>
            <w:t>7</w:t>
          </w:r>
        </w:p>
        <w:p>
          <w:pPr>
            <w:pStyle w:val="TOC3"/>
            <w:widowControl/>
            <w:jc w:val="both"/>
            <w:rPr>
              <w:rFonts w:ascii="Space Toaster" w:hAnsi="Space Toaster" w:cs="Space Toaster"/>
            </w:rPr>
          </w:pPr>
          <w:r>
            <w:rPr>
              <w:rFonts w:cs="Space Toaster" w:ascii="Space Toaster" w:hAnsi="Space Toaster"/>
            </w:rPr>
          </w:r>
        </w:p>
        <w:p>
          <w:pPr>
            <w:pStyle w:val="TOC3"/>
            <w:widowControl/>
            <w:tabs>
              <w:tab w:val="left" w:pos="-1440" w:leader="none"/>
              <w:tab w:val="left" w:pos="-720" w:leader="none"/>
              <w:tab w:val="left" w:pos="0" w:leader="none"/>
              <w:tab w:val="left" w:pos="720" w:leader="none"/>
              <w:tab w:val="left" w:pos="1440" w:leader="none"/>
              <w:tab w:val="left" w:pos="2160" w:leader="none"/>
              <w:tab w:val="left" w:pos="2880" w:leader="none"/>
              <w:tab w:val="right" w:pos="9360" w:leader="dot"/>
            </w:tabs>
            <w:ind w:hanging="720" w:start="2880" w:end="720"/>
            <w:jc w:val="both"/>
            <w:rPr>
              <w:rFonts w:ascii="Space Toaster" w:hAnsi="Space Toaster" w:cs="Space Toaster"/>
            </w:rPr>
          </w:pPr>
          <w:r>
            <w:rPr>
              <w:rFonts w:cs="Space Toaster" w:ascii="Space Toaster" w:hAnsi="Space Toaster"/>
            </w:rPr>
            <w:t>2.</w:t>
            <w:tab/>
            <w:t>The CAISO’s Tariff Does Not Provide that the Commission Retains Authority to Review the CAISO’s Enforcement and Sanctions Decisions.</w:t>
            <w:tab/>
            <w:t>9</w:t>
          </w:r>
        </w:p>
        <w:p>
          <w:pPr>
            <w:pStyle w:val="Normal"/>
            <w:widowControl/>
            <w:jc w:val="both"/>
            <w:rPr>
              <w:rFonts w:ascii="Space Toaster" w:hAnsi="Space Toaster" w:cs="Space Toaster"/>
            </w:rPr>
          </w:pPr>
          <w:r>
            <w:rPr>
              <w:rFonts w:cs="Space Toaster" w:ascii="Space Toaster" w:hAnsi="Space Toaster"/>
            </w:rPr>
          </w:r>
        </w:p>
        <w:p>
          <w:pPr>
            <w:pStyle w:val="TOC2"/>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720" w:start="2160" w:end="720"/>
            <w:jc w:val="both"/>
            <w:rPr>
              <w:rFonts w:ascii="Space Toaster" w:hAnsi="Space Toaster" w:cs="Space Toaster"/>
            </w:rPr>
          </w:pPr>
          <w:r>
            <w:rPr>
              <w:rFonts w:cs="Space Toaster" w:ascii="Space Toaster" w:hAnsi="Space Toaster"/>
            </w:rPr>
            <w:t>B.</w:t>
            <w:tab/>
            <w:t>The CAISO’s June 1, 1998 Compliance Filing in This Proceeding on MMIP Issues was Legally Deficient and Should Have Been Summarily Rejected</w:t>
            <w:tab/>
            <w:t>10</w:t>
          </w:r>
        </w:p>
        <w:p>
          <w:pPr>
            <w:pStyle w:val="Normal"/>
            <w:widowControl/>
            <w:jc w:val="both"/>
            <w:rPr>
              <w:rFonts w:ascii="Space Toaster" w:hAnsi="Space Toaster" w:cs="Space Toaster"/>
            </w:rPr>
          </w:pPr>
          <w:r>
            <w:rPr>
              <w:rFonts w:cs="Space Toaster" w:ascii="Space Toaster" w:hAnsi="Space Toaster"/>
            </w:rPr>
          </w:r>
        </w:p>
        <w:p>
          <w:pPr>
            <w:pStyle w:val="TOC2"/>
            <w:widowControl/>
            <w:tabs>
              <w:tab w:val="left" w:pos="-1440" w:leader="none"/>
              <w:tab w:val="left" w:pos="-720" w:leader="none"/>
              <w:tab w:val="left" w:pos="0" w:leader="none"/>
              <w:tab w:val="left" w:pos="720" w:leader="none"/>
              <w:tab w:val="left" w:pos="1440" w:leader="none"/>
              <w:tab w:val="right" w:pos="9360" w:leader="dot"/>
            </w:tabs>
            <w:ind w:hanging="720" w:start="1440" w:end="720"/>
            <w:jc w:val="both"/>
            <w:rPr>
              <w:rFonts w:ascii="Space Toaster" w:hAnsi="Space Toaster" w:cs="Space Toaster"/>
            </w:rPr>
          </w:pPr>
          <w:r>
            <w:rPr>
              <w:rFonts w:cs="Space Toaster" w:ascii="Space Toaster" w:hAnsi="Space Toaster"/>
            </w:rPr>
            <w:t>II.D.2</w:t>
            <w:tab/>
            <w:t>Does section 2 of the Market Monitoring and Information Protocol of the ISO Tariff ("MMIP") that allows the ISO to monitor the activities of Market Participants and take corrective and other action against what it believes to be "anomalous market behavior" provide the ISO with overbroad authority and  and deny market participants due process? (Issue No. 64)</w:t>
            <w:tab/>
            <w:t>11</w:t>
          </w:r>
        </w:p>
        <w:p>
          <w:pPr>
            <w:pStyle w:val="Normal"/>
            <w:widowControl/>
            <w:jc w:val="both"/>
            <w:rPr>
              <w:rFonts w:ascii="Space Toaster" w:hAnsi="Space Toaster" w:cs="Space Toaster"/>
            </w:rPr>
          </w:pPr>
          <w:r>
            <w:rPr>
              <w:rFonts w:cs="Space Toaster" w:ascii="Space Toaster" w:hAnsi="Space Toaster"/>
            </w:rPr>
          </w:r>
        </w:p>
        <w:p>
          <w:pPr>
            <w:pStyle w:val="TOC2"/>
            <w:widowControl/>
            <w:tabs>
              <w:tab w:val="left" w:pos="-1440" w:leader="none"/>
              <w:tab w:val="left" w:pos="-720" w:leader="none"/>
              <w:tab w:val="left" w:pos="0" w:leader="none"/>
              <w:tab w:val="left" w:pos="720" w:leader="none"/>
              <w:tab w:val="left" w:pos="1440" w:leader="none"/>
              <w:tab w:val="right" w:pos="9360" w:leader="dot"/>
            </w:tabs>
            <w:ind w:hanging="720" w:start="1440" w:end="720"/>
            <w:jc w:val="both"/>
            <w:rPr>
              <w:rFonts w:ascii="Space Toaster" w:hAnsi="Space Toaster" w:cs="Space Toaster"/>
            </w:rPr>
          </w:pPr>
          <w:r>
            <w:rPr>
              <w:rFonts w:cs="Space Toaster" w:ascii="Space Toaster" w:hAnsi="Space Toaster"/>
            </w:rPr>
            <w:t>II.D.3</w:t>
            <w:tab/>
            <w:t>Does section 2.3.2 of the MMIP, which allows the ISO to publicize allegedly abusive activities or behavior of Scheduling Coordinators before a Commission finding of wrongdoing is reached, deny Scheduling Coordinators due process? (Issue No. 65)</w:t>
            <w:tab/>
            <w:t>14</w:t>
          </w:r>
        </w:p>
        <w:p>
          <w:pPr>
            <w:pStyle w:val="Normal"/>
            <w:widowControl/>
            <w:jc w:val="both"/>
            <w:rPr>
              <w:rFonts w:ascii="Space Toaster" w:hAnsi="Space Toaster" w:cs="Space Toaster"/>
            </w:rPr>
          </w:pPr>
          <w:r>
            <w:rPr>
              <w:rFonts w:cs="Space Toaster" w:ascii="Space Toaster" w:hAnsi="Space Toaster"/>
            </w:rPr>
          </w:r>
        </w:p>
        <w:p>
          <w:pPr>
            <w:pStyle w:val="TOC2"/>
            <w:widowControl/>
            <w:tabs>
              <w:tab w:val="left" w:pos="-1440" w:leader="none"/>
              <w:tab w:val="left" w:pos="-720" w:leader="none"/>
              <w:tab w:val="left" w:pos="0" w:leader="none"/>
              <w:tab w:val="left" w:pos="720" w:leader="none"/>
              <w:tab w:val="left" w:pos="1440" w:leader="none"/>
              <w:tab w:val="right" w:pos="9360" w:leader="dot"/>
            </w:tabs>
            <w:ind w:hanging="720" w:start="1440" w:end="720"/>
            <w:jc w:val="both"/>
            <w:rPr>
              <w:rFonts w:ascii="Space Toaster" w:hAnsi="Space Toaster" w:cs="Space Toaster"/>
            </w:rPr>
          </w:pPr>
          <w:r>
            <w:rPr>
              <w:rFonts w:cs="Space Toaster" w:ascii="Space Toaster" w:hAnsi="Space Toaster"/>
            </w:rPr>
            <w:t>II.D.4</w:t>
            <w:tab/>
            <w:t>Are informational demands contained in section 4.5 of the MMIP unjust and unreasonable? (Issue No. 66)</w:t>
            <w:tab/>
            <w:t>16</w:t>
          </w:r>
        </w:p>
        <w:p>
          <w:pPr>
            <w:pStyle w:val="Normal"/>
            <w:widowControl/>
            <w:jc w:val="both"/>
            <w:rPr>
              <w:rFonts w:ascii="Space Toaster" w:hAnsi="Space Toaster" w:cs="Space Toaster"/>
            </w:rPr>
          </w:pPr>
          <w:r>
            <w:rPr>
              <w:rFonts w:cs="Space Toaster" w:ascii="Space Toaster" w:hAnsi="Space Toaster"/>
            </w:rPr>
          </w:r>
        </w:p>
        <w:p>
          <w:pPr>
            <w:pStyle w:val="TOC1"/>
            <w:widowControl/>
            <w:tabs>
              <w:tab w:val="left" w:pos="-1440" w:leader="none"/>
              <w:tab w:val="left" w:pos="-720" w:leader="none"/>
              <w:tab w:val="left" w:pos="0" w:leader="none"/>
              <w:tab w:val="left" w:pos="720" w:leader="none"/>
              <w:tab w:val="right" w:pos="9360" w:leader="dot"/>
            </w:tabs>
            <w:jc w:val="both"/>
            <w:rPr>
              <w:rFonts w:ascii="Space Toaster" w:hAnsi="Space Toaster" w:cs="Space Toaster"/>
            </w:rPr>
          </w:pPr>
          <w:r>
            <w:rPr>
              <w:rFonts w:cs="Space Toaster" w:ascii="Space Toaster" w:hAnsi="Space Toaster"/>
            </w:rPr>
            <w:t>III.</w:t>
            <w:tab/>
            <w:t>CONCLUSION</w:t>
            <w:tab/>
            <w:t>19</w:t>
          </w:r>
        </w:p>
        <w:p>
          <w:pPr>
            <w:pStyle w:val="Normal"/>
            <w:widowControl/>
            <w:jc w:val="both"/>
            <w:rPr>
              <w:rFonts w:ascii="Space Toaster" w:hAnsi="Space Toaster" w:cs="Space Toaster"/>
              <w:vanish/>
            </w:rPr>
          </w:pPr>
          <w:r>
            <w:rPr>
              <w:rFonts w:cs="Space Toaster" w:ascii="Space Toaster" w:hAnsi="Space Toaster"/>
              <w:vanish/>
            </w:rPr>
          </w:r>
          <w:r>
            <w:rPr>
              <w:vanish/>
              <w:rFonts w:cs="Space Toaster" w:ascii="Space Toaster" w:hAnsi="Space Toaster"/>
            </w:rPr>
            <w:fldChar w:fldCharType="end"/>
          </w:r>
        </w:p>
      </w:sdtContent>
    </w:sdt>
    <w:p>
      <w:pPr>
        <w:pStyle w:val="Normal"/>
        <w:widowControl/>
        <w:jc w:val="both"/>
        <w:rPr>
          <w:rFonts w:ascii="Space Toaster" w:hAnsi="Space Toaster" w:cs="Space Toaster"/>
          <w:vanish/>
        </w:rPr>
      </w:pPr>
      <w:r>
        <w:rPr>
          <w:rFonts w:cs="Space Toaster" w:ascii="Space Toaster" w:hAnsi="Space Toaster"/>
          <w:vanish/>
        </w:rPr>
      </w:r>
    </w:p>
    <w:sectPr>
      <w:footerReference w:type="default" r:id="rId3"/>
      <w:footerReference w:type="first" r:id="rId4"/>
      <w:footnotePr>
        <w:numFmt w:val="decimal"/>
      </w:footnotePr>
      <w:type w:val="nextPage"/>
      <w:pgSz w:w="12240" w:h="15840"/>
      <w:pgMar w:left="1440" w:right="1440" w:gutter="0" w:header="0" w:top="1440" w:footer="336" w:bottom="392"/>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eam MT">
    <w:charset w:val="00" w:characterSet="windows-1252"/>
    <w:family w:val="auto"/>
    <w:pitch w:val="variable"/>
  </w:font>
  <w:font w:name="Space Toaster">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16"/>
      </w:rPr>
    </w:pPr>
    <w:r>
      <w:rPr>
        <w:sz w:val="16"/>
      </w:rPr>
      <w:t>CARRRN\027326\009236</w:t>
    </w:r>
  </w:p>
  <w:p>
    <w:pPr>
      <w:pStyle w:val="Normal"/>
      <w:rPr>
        <w:sz w:val="16"/>
      </w:rPr>
    </w:pPr>
    <w:r>
      <w:rPr>
        <w:sz w:val="16"/>
      </w:rPr>
      <w:t>DC\</w:t>
    </w:r>
    <w:r>
      <w:rPr>
        <w:sz w:val="16"/>
      </w:rPr>
      <w:fldChar w:fldCharType="begin"/>
    </w:r>
    <w:r>
      <w:rPr>
        <w:sz w:val="16"/>
      </w:rPr>
      <w:instrText xml:space="preserve"> FILENAME </w:instrText>
    </w:r>
    <w:r>
      <w:rPr>
        <w:sz w:val="16"/>
      </w:rPr>
      <w:fldChar w:fldCharType="separate"/>
    </w:r>
    <w:r>
      <w:rPr>
        <w:sz w:val="16"/>
      </w:rPr>
      <w:t>FERCbrief.doc</w:t>
    </w:r>
    <w:r>
      <w:rPr>
        <w:sz w:val="16"/>
      </w:rPr>
      <w:fldChar w:fldCharType="end"/>
    </w:r>
  </w:p>
  <w:p>
    <w:pPr>
      <w:pStyle w:val="Normal"/>
      <w:rPr>
        <w:sz w:val="16"/>
      </w:rPr>
    </w:pPr>
    <w:r>
      <w:rPr>
        <w:sz w:val="16"/>
      </w:rPr>
      <w:t>2/10/00--2:25 PM</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77165"/>
              <wp:effectExtent l="0" t="0" r="0" b="0"/>
              <wp:wrapTopAndBottom/>
              <wp:docPr id="1" name="Frame1"/>
              <a:graphic xmlns:a="http://schemas.openxmlformats.org/drawingml/2006/main">
                <a:graphicData uri="http://schemas.microsoft.com/office/word/2010/wordprocessingShape">
                  <wps:wsp>
                    <wps:cNvSpPr txBox="1"/>
                    <wps:spPr>
                      <a:xfrm>
                        <a:off x="0" y="0"/>
                        <a:ext cx="5943600" cy="177165"/>
                      </a:xfrm>
                      <a:prstGeom prst="rect"/>
                      <a:solidFill>
                        <a:srgbClr val="FFFFFF">
                          <a:alpha val="0"/>
                        </a:srgbClr>
                      </a:solidFill>
                    </wps:spPr>
                    <wps:txbx>
                      <w:txbxContent>
                        <w:p>
                          <w:pPr>
                            <w:pStyle w:val="Normal"/>
                            <w:rPr/>
                          </w:pPr>
                          <w:r>
                            <w:rPr/>
                          </w:r>
                        </w:p>
                      </w:txbxContent>
                    </wps:txbx>
                    <wps:bodyPr anchor="t" lIns="0" tIns="0" rIns="0" bIns="0">
                      <a:noAutofit/>
                    </wps:bodyPr>
                  </wps:wsp>
                </a:graphicData>
              </a:graphic>
            </wp:anchor>
          </w:drawing>
        </mc:Choice>
        <mc:Fallback>
          <w:pict>
            <v:rect fillcolor="#FFFFFF" style="position:absolute;rotation:-0;width:468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rPr/>
                    </w:pPr>
                    <w:r>
                      <w:rPr/>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w:t>
                    </w:r>
                    <w:r>
                      <w:rPr/>
                      <w:fldChar w:fldCharType="end"/>
                    </w:r>
                    <w:r>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t xml:space="preserve">  </w:t>
      </w:r>
      <w:r>
        <w:rPr>
          <w:i/>
          <w:sz w:val="20"/>
        </w:rPr>
        <w:t>Regulation of Short-Term Natural Gas Transportation Services, and Regulation of Interstate Natural Gas Transportation Services</w:t>
      </w:r>
      <w:r>
        <w:rPr>
          <w:sz w:val="20"/>
        </w:rPr>
        <w:t xml:space="preserve">, 90 FERC ¶ 61,109, </w:t>
      </w:r>
      <w:r>
        <w:rPr>
          <w:i/>
          <w:sz w:val="20"/>
        </w:rPr>
        <w:t>mimeo</w:t>
      </w:r>
      <w:r>
        <w:rPr>
          <w:sz w:val="20"/>
        </w:rPr>
        <w:t xml:space="preserve"> at 47 (February 9, 2000) ("staff" directed to "evaluate" [market] structure, conduct and performance of industry" and "develop the appropriate market monitoring capability"); </w:t>
      </w:r>
      <w:r>
        <w:rPr>
          <w:i/>
          <w:sz w:val="20"/>
        </w:rPr>
        <w:t>see generally id.</w:t>
      </w:r>
      <w:r>
        <w:rPr>
          <w:sz w:val="20"/>
        </w:rPr>
        <w:t xml:space="preserve"> at 47-50.</w:t>
      </w:r>
    </w:p>
  </w:footnote>
  <w:footnote w:id="3">
    <w:p>
      <w:pPr>
        <w:pStyle w:val="Normal"/>
        <w:spacing w:before="0" w:after="240"/>
        <w:ind w:firstLine="720" w:end="0"/>
        <w:jc w:val="both"/>
        <w:rPr/>
      </w:pPr>
      <w:r>
        <w:rPr>
          <w:rStyle w:val="FootnoteCharacters"/>
        </w:rPr>
        <w:footnoteRef/>
      </w:r>
      <w:r>
        <w:rPr/>
        <w:t xml:space="preserve">  </w:t>
      </w:r>
      <w:r>
        <w:rPr>
          <w:sz w:val="20"/>
        </w:rPr>
        <w:t>The CAISO, in its June 1, 1998 compliance filing in these proceedings, failed to eliminate the provisions of its MMIP that allow it to impose sanctions and penalties.  Thus, as discussed below, the CAISO is already  in non-compliance with the Commission's previous orders on MMIP issues.</w:t>
      </w:r>
    </w:p>
  </w:footnote>
  <w:footnote w:id="4">
    <w:p>
      <w:pPr>
        <w:pStyle w:val="Normal"/>
        <w:spacing w:before="0" w:after="240"/>
        <w:ind w:firstLine="720" w:end="0"/>
        <w:jc w:val="both"/>
        <w:rPr/>
      </w:pPr>
      <w:r>
        <w:rPr>
          <w:rStyle w:val="FootnoteCharacters"/>
        </w:rPr>
        <w:footnoteRef/>
      </w:r>
      <w:r>
        <w:rPr/>
        <w:t xml:space="preserve">  </w:t>
      </w:r>
      <w:r>
        <w:rPr>
          <w:sz w:val="20"/>
        </w:rPr>
        <w:t xml:space="preserve">The Supreme Court has historically expressed an antipathy to the delegation of policy-making responsibility to private organizations. </w:t>
      </w:r>
      <w:r>
        <w:rPr>
          <w:i/>
          <w:sz w:val="20"/>
        </w:rPr>
        <w:t xml:space="preserve">See, e.g., Schechter Poultry Corp. v. U.S., 295 </w:t>
      </w:r>
      <w:r>
        <w:rPr>
          <w:sz w:val="20"/>
        </w:rPr>
        <w:t xml:space="preserve">U.S. 495, 537 (1935) (Court found that Congress may not constitutionally delegate its legislative power to industry participants).  Delegations that allow private entities to make public policy may be unconstitutional and threaten the legitimacy of administrative agencies that are charged with enforcing the rules and regulations that their enabling acts mandate. </w:t>
      </w:r>
      <w:r>
        <w:rPr>
          <w:i/>
          <w:sz w:val="20"/>
        </w:rPr>
        <w:t xml:space="preserve"> See generally, </w:t>
      </w:r>
      <w:r>
        <w:rPr>
          <w:sz w:val="20"/>
        </w:rPr>
        <w:t xml:space="preserve">Jody Freeman, </w:t>
      </w:r>
      <w:r>
        <w:rPr>
          <w:i/>
          <w:sz w:val="20"/>
        </w:rPr>
        <w:t xml:space="preserve">Collaborative Governance in the Administrative State, 45 </w:t>
      </w:r>
      <w:r>
        <w:rPr>
          <w:sz w:val="20"/>
        </w:rPr>
        <w:t>UCLA L. Rev. 1(1997).</w:t>
      </w:r>
    </w:p>
  </w:footnote>
  <w:footnote w:id="5">
    <w:p>
      <w:pPr>
        <w:pStyle w:val="Normal"/>
        <w:spacing w:before="0" w:after="240"/>
        <w:ind w:firstLine="720" w:end="0"/>
        <w:jc w:val="both"/>
        <w:rPr/>
      </w:pPr>
      <w:r>
        <w:rPr>
          <w:rStyle w:val="FootnoteCharacters"/>
        </w:rPr>
        <w:footnoteRef/>
      </w:r>
      <w:r>
        <w:rPr/>
        <w:t xml:space="preserve">  </w:t>
      </w:r>
      <w:r>
        <w:rPr>
          <w:rFonts w:cs="Team MT" w:ascii="Team MT" w:hAnsi="Team MT"/>
          <w:sz w:val="20"/>
        </w:rPr>
        <w:t>Section 307 gives the Commission the power to investigate, providing such tools as the authority to compel depositions, the ability to mandate attendance or compliance, and the power of subpoena.  Section 314 of the FPA allows the Commission to bring an action in a U.S. District Court to enjoin violations of the Act or orders issued pursuant to it.  Section 315 allows the Commission to impose forfeitures on any licencee that willfully fails to comply with an order, rule or regulation of the Commission.  Section 316 sets forth criminal penalties, consisting of fines or imprisonment, for willful or knowing violations of the Act.</w:t>
      </w:r>
    </w:p>
  </w:footnote>
  <w:footnote w:id="6">
    <w:p>
      <w:pPr>
        <w:pStyle w:val="Normal"/>
        <w:spacing w:before="0" w:after="240"/>
        <w:ind w:firstLine="720" w:end="0"/>
        <w:jc w:val="both"/>
        <w:rPr/>
      </w:pPr>
      <w:r>
        <w:rPr>
          <w:rStyle w:val="FootnoteCharacters"/>
        </w:rPr>
        <w:footnoteRef/>
      </w:r>
      <w:r>
        <w:rPr/>
        <w:t xml:space="preserve">  </w:t>
      </w:r>
      <w:r>
        <w:rPr>
          <w:sz w:val="20"/>
        </w:rPr>
        <w:t xml:space="preserve">In this regard, MMIP Section  4.8 (Liability for Damages) should be modified to provide that the MSU, the MSC, the CAISO CEO and other CAISO staff will in fact shall be liable to  market participants for “willful misconduct” in carrying out their duties (whatever they may ultimately be) under the MMIP.  This is the standard approved in  </w:t>
      </w:r>
      <w:r>
        <w:rPr>
          <w:i/>
          <w:sz w:val="20"/>
        </w:rPr>
        <w:t>NYISO</w:t>
      </w:r>
      <w:r>
        <w:rPr>
          <w:sz w:val="20"/>
        </w:rPr>
        <w:t xml:space="preserve">, 89 FERC at 61,604, </w:t>
      </w:r>
      <w:r>
        <w:rPr>
          <w:i/>
          <w:sz w:val="20"/>
        </w:rPr>
        <w:t>citing PJM Interconnection, L.L.C.</w:t>
      </w:r>
      <w:r>
        <w:rPr>
          <w:sz w:val="20"/>
        </w:rPr>
        <w:t>, 86 FERC ¶ 61,247 (1999) ("</w:t>
      </w:r>
      <w:r>
        <w:rPr>
          <w:i/>
          <w:sz w:val="20"/>
        </w:rPr>
        <w:t>PJM</w:t>
      </w:r>
      <w:r>
        <w:rPr>
          <w:sz w:val="20"/>
        </w:rPr>
        <w:t>").  MMIP 4.8 is inconsistent with these holdings since it completely exonerates CAISO employees for any and all consequences on market participants of their behavior, no matter how egregious it may be, thereby inviting recklessness.</w:t>
      </w:r>
    </w:p>
  </w:footnote>
  <w:footnote w:id="7">
    <w:p>
      <w:pPr>
        <w:pStyle w:val="Normal"/>
        <w:spacing w:before="0" w:after="240"/>
        <w:ind w:firstLine="720" w:end="0"/>
        <w:jc w:val="both"/>
        <w:rPr/>
      </w:pPr>
      <w:r>
        <w:rPr>
          <w:rStyle w:val="FootnoteCharacters"/>
        </w:rPr>
        <w:footnoteRef/>
      </w:r>
      <w:r>
        <w:rPr/>
        <w:t xml:space="preserve">  </w:t>
      </w:r>
      <w:r>
        <w:rPr>
          <w:rFonts w:cs="Team MT" w:ascii="Team MT" w:hAnsi="Team MT"/>
          <w:i/>
          <w:sz w:val="20"/>
        </w:rPr>
        <w:t xml:space="preserve">See also Policy Statement Regarding Regional Transmission Groups, </w:t>
      </w:r>
      <w:r>
        <w:rPr>
          <w:rFonts w:cs="Team MT" w:ascii="Team MT" w:hAnsi="Team MT"/>
          <w:sz w:val="20"/>
        </w:rPr>
        <w:t xml:space="preserve">[1991-96] FERC Stats. &amp; Regs. </w:t>
      </w:r>
      <w:r>
        <w:rPr>
          <w:i/>
          <w:sz w:val="20"/>
        </w:rPr>
        <w:t xml:space="preserve">¶ </w:t>
      </w:r>
      <w:r>
        <w:rPr>
          <w:rFonts w:cs="Team MT" w:ascii="Team MT" w:hAnsi="Team MT"/>
          <w:sz w:val="20"/>
        </w:rPr>
        <w:t xml:space="preserve">30,976, at 30,877 (1993) (holding that the Commission should give some degree of deference to the opinions of the RTGs, yet must hold onto some power of review of those opinions in order to stay within the confines of the FPA). </w:t>
      </w:r>
      <w:r>
        <w:rPr>
          <w:rFonts w:cs="Team MT" w:ascii="Team MT" w:hAnsi="Team MT"/>
        </w:rPr>
        <w:t xml:space="preserve"> </w:t>
      </w:r>
    </w:p>
  </w:footnote>
  <w:footnote w:id="8">
    <w:p>
      <w:pPr>
        <w:pStyle w:val="Normal"/>
        <w:spacing w:before="0" w:after="240"/>
        <w:ind w:firstLine="720" w:end="0"/>
        <w:jc w:val="both"/>
        <w:rPr/>
      </w:pPr>
      <w:r>
        <w:rPr>
          <w:rStyle w:val="FootnoteCharacters"/>
        </w:rPr>
        <w:footnoteRef/>
      </w:r>
      <w:r>
        <w:rPr/>
        <w:t xml:space="preserve">  </w:t>
      </w:r>
      <w:r>
        <w:rPr>
          <w:sz w:val="20"/>
        </w:rPr>
        <w:t xml:space="preserve">In specific response and reference to the Commission’s directive in </w:t>
      </w:r>
      <w:r>
        <w:rPr>
          <w:i/>
          <w:sz w:val="20"/>
        </w:rPr>
        <w:t>PG&amp;E</w:t>
      </w:r>
      <w:r>
        <w:rPr>
          <w:sz w:val="20"/>
        </w:rPr>
        <w:t xml:space="preserve">, the Cal PX submitted tariff sheets in Docket No. ER99-2021-000 that address the behavior and sanctions that will be subject to its enforcement authority.  The Commission approved the Cal PX’s filing, as amended, effective July 1, 1999.  </w:t>
      </w:r>
      <w:r>
        <w:rPr>
          <w:i/>
          <w:sz w:val="20"/>
        </w:rPr>
        <w:t>California Power Exchange Corp.</w:t>
      </w:r>
      <w:r>
        <w:rPr>
          <w:sz w:val="20"/>
        </w:rPr>
        <w:t>, 88 FERC ¶ 61,112 (1999).</w:t>
      </w:r>
    </w:p>
  </w:footnote>
  <w:footnote w:id="9">
    <w:p>
      <w:pPr>
        <w:pStyle w:val="Normal"/>
        <w:spacing w:before="0" w:after="240"/>
        <w:ind w:firstLine="720" w:end="0"/>
        <w:jc w:val="both"/>
        <w:rPr/>
      </w:pPr>
      <w:r>
        <w:rPr>
          <w:rStyle w:val="FootnoteCharacters"/>
        </w:rPr>
        <w:footnoteRef/>
      </w:r>
      <w:r>
        <w:rPr/>
        <w:t xml:space="preserve"> </w:t>
      </w:r>
      <w:r>
        <w:rPr/>
        <w:t>"</w:t>
      </w:r>
      <w:r>
        <w:rPr>
          <w:sz w:val="20"/>
        </w:rPr>
        <w:t xml:space="preserve">The filed rate doctrine  is not limited to 'rates' </w:t>
      </w:r>
      <w:r>
        <w:rPr>
          <w:i/>
          <w:sz w:val="20"/>
        </w:rPr>
        <w:t>per se</w:t>
      </w:r>
      <w:r>
        <w:rPr>
          <w:sz w:val="20"/>
        </w:rPr>
        <w:t xml:space="preserve">."  </w:t>
      </w:r>
      <w:r>
        <w:rPr>
          <w:i/>
          <w:sz w:val="20"/>
        </w:rPr>
        <w:t>Nantahala</w:t>
      </w:r>
      <w:r>
        <w:rPr>
          <w:sz w:val="20"/>
        </w:rPr>
        <w:t xml:space="preserve"> </w:t>
      </w:r>
      <w:r>
        <w:rPr>
          <w:i/>
          <w:sz w:val="20"/>
        </w:rPr>
        <w:t>Power and Light v. Thornburg</w:t>
      </w:r>
      <w:r>
        <w:rPr>
          <w:sz w:val="20"/>
        </w:rPr>
        <w:t>, 476 U.S. 953, 966-67 (1986).</w:t>
      </w:r>
    </w:p>
  </w:footnote>
  <w:footnote w:id="10">
    <w:p>
      <w:pPr>
        <w:pStyle w:val="Normal"/>
        <w:spacing w:before="0" w:after="240"/>
        <w:ind w:firstLine="720" w:end="0"/>
        <w:jc w:val="both"/>
        <w:rPr/>
      </w:pPr>
      <w:r>
        <w:rPr>
          <w:rStyle w:val="FootnoteCharacters"/>
        </w:rPr>
        <w:footnoteRef/>
      </w:r>
      <w:r>
        <w:rPr/>
        <w:t xml:space="preserve">  </w:t>
      </w:r>
      <w:r>
        <w:rPr>
          <w:sz w:val="20"/>
        </w:rPr>
        <w:t>While MMIP 2.1.1.1 through MMIP 2.1.1.5 provides certain examples of such behavior, this listing is intended to be illustrative, not all-inclusive.</w:t>
      </w:r>
    </w:p>
  </w:footnote>
  <w:footnote w:id="11">
    <w:p>
      <w:pPr>
        <w:pStyle w:val="Normal"/>
        <w:spacing w:before="0" w:after="240"/>
        <w:ind w:firstLine="720" w:end="0"/>
        <w:jc w:val="both"/>
        <w:rPr/>
      </w:pPr>
      <w:r>
        <w:rPr>
          <w:rStyle w:val="FootnoteCharacters"/>
        </w:rPr>
        <w:footnoteRef/>
      </w:r>
      <w:r>
        <w:rPr/>
        <w:t xml:space="preserve">  </w:t>
      </w:r>
      <w:r>
        <w:rPr>
          <w:sz w:val="20"/>
        </w:rPr>
        <w:t xml:space="preserve">The Cal PX's filing in Docket No. ER99-2021-000 provided this type of specific listing.  </w:t>
      </w:r>
      <w:r>
        <w:rPr>
          <w:i/>
          <w:sz w:val="20"/>
        </w:rPr>
        <w:t>See</w:t>
      </w:r>
      <w:r>
        <w:rPr>
          <w:sz w:val="20"/>
        </w:rPr>
        <w:t xml:space="preserve"> n. 6, </w:t>
      </w:r>
      <w:r>
        <w:rPr>
          <w:i/>
          <w:sz w:val="20"/>
        </w:rPr>
        <w:t>supra</w:t>
      </w:r>
      <w:r>
        <w:rPr>
          <w:sz w:val="20"/>
        </w:rPr>
        <w:t>.</w:t>
      </w:r>
    </w:p>
  </w:footnote>
  <w:footnote w:id="12">
    <w:p>
      <w:pPr>
        <w:pStyle w:val="Normal"/>
        <w:spacing w:before="0" w:after="240"/>
        <w:ind w:firstLine="720" w:end="0"/>
        <w:jc w:val="both"/>
        <w:rPr/>
      </w:pPr>
      <w:r>
        <w:rPr>
          <w:rStyle w:val="FootnoteCharacters"/>
        </w:rPr>
        <w:footnoteRef/>
      </w:r>
      <w:r>
        <w:rPr/>
        <w:t xml:space="preserve">  </w:t>
      </w:r>
      <w:r>
        <w:rPr>
          <w:i/>
          <w:sz w:val="20"/>
        </w:rPr>
        <w:t>See Inquiry Concerning the Commission’s Merger Policy Under the Federal Power Act: Policy Statement, Order No. 592</w:t>
      </w:r>
      <w:r>
        <w:rPr>
          <w:b/>
          <w:sz w:val="20"/>
        </w:rPr>
        <w:t>,</w:t>
      </w:r>
      <w:r>
        <w:rPr>
          <w:sz w:val="20"/>
        </w:rPr>
        <w:t xml:space="preserve"> [1991 - 1996] FERC Stats. &amp; Regs. ¶ 31,044 at 30,137 (December 18, 1996) (Commission noted that institutional guarantees of comparable and independent access to all customers will serve both to attract new entrants and to encourage continued participation in markets that would otherwise be dominated by vertically integrated utilities); </w:t>
      </w:r>
      <w:r>
        <w:rPr>
          <w:rFonts w:cs="Space Toaster" w:ascii="Space Toaster" w:hAnsi="Space Toaster"/>
          <w:i/>
          <w:sz w:val="20"/>
        </w:rPr>
        <w:t>Inquiry Concerning the Commission’s Pricing Policy for Transmission Services Provided by Public Utilities Under the Federal Power Act,</w:t>
      </w:r>
      <w:r>
        <w:rPr>
          <w:rFonts w:cs="Space Toaster" w:ascii="Space Toaster" w:hAnsi="Space Toaster"/>
          <w:b/>
          <w:sz w:val="20"/>
        </w:rPr>
        <w:t xml:space="preserve"> </w:t>
      </w:r>
      <w:r>
        <w:rPr>
          <w:rFonts w:cs="Space Toaster" w:ascii="Space Toaster" w:hAnsi="Space Toaster"/>
          <w:sz w:val="20"/>
        </w:rPr>
        <w:t>[1991 - 1996] FERC Stats. &amp; Regs. ¶35,024 at 35,164</w:t>
      </w:r>
      <w:r>
        <w:rPr>
          <w:b/>
          <w:sz w:val="20"/>
        </w:rPr>
        <w:t xml:space="preserve"> </w:t>
      </w:r>
      <w:r>
        <w:rPr>
          <w:sz w:val="20"/>
        </w:rPr>
        <w:t>(June 30, 1993)(Commission stating that open access tariffs and rate schedules will provide more opportunities for buyers and sellers to participate in larger geographic markets).</w:t>
      </w:r>
    </w:p>
  </w:footnote>
  <w:footnote w:id="13">
    <w:p>
      <w:pPr>
        <w:pStyle w:val="Normal"/>
        <w:spacing w:before="0" w:after="240"/>
        <w:ind w:firstLine="720" w:end="0"/>
        <w:jc w:val="both"/>
        <w:rPr/>
      </w:pPr>
      <w:r>
        <w:rPr>
          <w:rStyle w:val="FootnoteCharacters"/>
        </w:rPr>
        <w:footnoteRef/>
      </w:r>
      <w:r>
        <w:rPr/>
        <w:t xml:space="preserve">  </w:t>
      </w:r>
      <w:r>
        <w:rPr>
          <w:sz w:val="20"/>
        </w:rPr>
        <w:t>MMIP 4.1.2 states that the MSU will eventually develop a "detailed catalog of all the categories of data that it will have the means of acquiring. . . ."  But this eventual limitation does not appear to restrict the MSU's data collection authority under Section 4.5.</w:t>
      </w:r>
    </w:p>
  </w:footnote>
  <w:footnote w:id="14">
    <w:p>
      <w:pPr>
        <w:pStyle w:val="Normal"/>
        <w:spacing w:before="0" w:after="240"/>
        <w:ind w:firstLine="720" w:end="0"/>
        <w:jc w:val="both"/>
        <w:rPr/>
      </w:pPr>
      <w:r>
        <w:rPr>
          <w:rStyle w:val="FootnoteCharacters"/>
        </w:rPr>
        <w:footnoteRef/>
      </w:r>
      <w:r>
        <w:rPr/>
        <w:t xml:space="preserve">  </w:t>
      </w:r>
      <w:r>
        <w:rPr>
          <w:sz w:val="20"/>
        </w:rPr>
        <w:t xml:space="preserve">In the event the market participant and the New York MMU disagree as to the informational demands requested by the MMU, the parties are expected to negotiate appropriate compromises and confidentiality protections.  </w:t>
      </w:r>
      <w:r>
        <w:rPr>
          <w:i/>
          <w:sz w:val="20"/>
        </w:rPr>
        <w:t>NYISO</w:t>
      </w:r>
      <w:r>
        <w:rPr>
          <w:sz w:val="20"/>
        </w:rPr>
        <w:t xml:space="preserve">, 89 FERC at 61,603.  If these efforts fail, the matter will be subject to binding ADR or judicial or regulatory proceedings as appropriate.  </w:t>
      </w:r>
      <w:r>
        <w:rPr>
          <w:i/>
          <w:sz w:val="20"/>
        </w:rPr>
        <w:t>Id.</w:t>
      </w:r>
    </w:p>
  </w:footnote>
  <w:footnote w:id="15">
    <w:p>
      <w:pPr>
        <w:pStyle w:val="Normal"/>
        <w:spacing w:before="0" w:after="240"/>
        <w:ind w:firstLine="720" w:end="0"/>
        <w:jc w:val="both"/>
        <w:rPr/>
      </w:pPr>
      <w:r>
        <w:rPr>
          <w:rStyle w:val="FootnoteCharacters"/>
        </w:rPr>
        <w:footnoteRef/>
      </w:r>
      <w:r>
        <w:rPr/>
        <w:t xml:space="preserve">  </w:t>
      </w:r>
      <w:r>
        <w:rPr>
          <w:i/>
          <w:sz w:val="20"/>
        </w:rPr>
        <w:t>See</w:t>
      </w:r>
      <w:r>
        <w:rPr>
          <w:sz w:val="20"/>
        </w:rPr>
        <w:t xml:space="preserve"> FPA §307(a)(providing statutory authorization to the Commission to investigate violations of the Commission's rules and regulations); and §307(b) (empowering the Commission and its designated officers to require the production of documents that the Commission finds is relevant or material to its investigative inquiry).</w:t>
      </w:r>
    </w:p>
  </w:footnote>
  <w:footnote w:id="16">
    <w:p>
      <w:pPr>
        <w:pStyle w:val="Normal"/>
        <w:spacing w:before="0" w:after="240"/>
        <w:ind w:firstLine="720" w:end="0"/>
        <w:jc w:val="both"/>
        <w:rPr/>
      </w:pPr>
      <w:r>
        <w:rPr>
          <w:rStyle w:val="FootnoteCharacters"/>
        </w:rPr>
        <w:footnoteRef/>
      </w:r>
      <w:r>
        <w:rPr/>
        <w:t xml:space="preserve">  </w:t>
      </w:r>
      <w:r>
        <w:rPr>
          <w:i/>
          <w:sz w:val="20"/>
        </w:rPr>
        <w:t>Cf. Burlington Northern v. Office of Inspector General</w:t>
      </w:r>
      <w:r>
        <w:rPr>
          <w:sz w:val="20"/>
        </w:rPr>
        <w:t xml:space="preserve">, 983 F.2d 631, 641-42 (5th Cir. 1993) (court held that even an Inspector General lacked statutory authority to conduct audits and investigations which were part of a "long-term, regulatory plan," and lacked statutory authority to perform "those investigations or audits which are most appropriately viewed as being within the authority of the agency itself", and denied enforcement of the Inspector General's subpoena of documents).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4"/>
        <w:i/>
        <w:b/>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2"/>
      <w:numFmt w:val="decimal"/>
      <w:lvlText w:val="%1."/>
      <w:lvlJc w:val="start"/>
      <w:pPr>
        <w:tabs>
          <w:tab w:val="num" w:pos="0"/>
        </w:tabs>
        <w:ind w:start="0" w:hanging="0"/>
      </w:pPr>
      <w:rPr>
        <w:sz w:val="24"/>
        <w:i/>
        <w:b/>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3">
    <w:lvl w:ilvl="0">
      <w:start w:val="2"/>
      <w:numFmt w:val="decimal"/>
      <w:lvlText w:val="%1."/>
      <w:lvlJc w:val="start"/>
      <w:pPr>
        <w:tabs>
          <w:tab w:val="num" w:pos="0"/>
        </w:tabs>
        <w:ind w:start="0" w:hanging="0"/>
      </w:pPr>
      <w:rPr>
        <w:sz w:val="24"/>
        <w:i/>
        <w:b/>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WW8Num1z0">
    <w:name w:val="WW8Num1z0"/>
    <w:qFormat/>
    <w:rPr>
      <w:rFonts w:ascii="Times New Roman" w:hAnsi="Times New Roman" w:cs="Times New Roman"/>
      <w:b/>
      <w:i/>
      <w:sz w:val="24"/>
    </w:rPr>
  </w:style>
  <w:style w:type="character" w:styleId="WW8Num2z0">
    <w:name w:val="WW8Num2z0"/>
    <w:qFormat/>
    <w:rPr>
      <w:rFonts w:ascii="Times New Roman" w:hAnsi="Times New Roman" w:cs="Times New Roman"/>
      <w:b/>
      <w:i/>
      <w:sz w:val="24"/>
    </w:rPr>
  </w:style>
  <w:style w:type="character" w:styleId="WW8Num3z0">
    <w:name w:val="WW8Num3z0"/>
    <w:qFormat/>
    <w:rPr>
      <w:rFonts w:ascii="Times New Roman" w:hAnsi="Times New Roman" w:cs="Times New Roman"/>
      <w:b/>
      <w:i/>
      <w:sz w:val="24"/>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basedOn w:val="Normal"/>
    <w:qFormat/>
    <w:pPr>
      <w:ind w:hanging="720" w:start="720" w:end="720"/>
    </w:pPr>
    <w:rPr/>
  </w:style>
  <w:style w:type="paragraph" w:styleId="TOC1">
    <w:name w:val="toc 1"/>
    <w:basedOn w:val="Normal"/>
    <w:next w:val="Normal"/>
    <w:pPr>
      <w:ind w:hanging="720" w:start="720" w:end="0"/>
    </w:pPr>
    <w:rPr/>
  </w:style>
  <w:style w:type="paragraph" w:styleId="TOC2">
    <w:name w:val="toc 2"/>
    <w:basedOn w:val="Normal"/>
    <w:next w:val="Normal"/>
    <w:pPr>
      <w:ind w:hanging="0" w:start="720" w:end="0"/>
    </w:pPr>
    <w:rPr/>
  </w:style>
  <w:style w:type="paragraph" w:styleId="TOC3">
    <w:name w:val="toc 3"/>
    <w:basedOn w:val="Normal"/>
    <w:next w:val="Normal"/>
    <w:pPr>
      <w:ind w:hanging="0" w:start="1440" w:end="0"/>
    </w:pPr>
    <w:rPr/>
  </w:style>
  <w:style w:type="paragraph" w:styleId="TOC4">
    <w:name w:val="toc 4"/>
    <w:basedOn w:val="Normal"/>
    <w:next w:val="Normal"/>
    <w:pPr>
      <w:ind w:hanging="0" w:start="1440" w:end="0"/>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2000-12-05T22:18:00Z</dcterms:created>
  <dc:creator/>
  <dc:description/>
  <dc:language>en-CA</dc:language>
  <cp:lastModifiedBy>Gary Fergus</cp:lastModifiedBy>
  <dcterms:modified xsi:type="dcterms:W3CDTF">2000-12-05T22:18:00Z</dcterms:modified>
  <cp:revision>3</cp:revision>
  <dc:subject/>
  <dc:title>UNITED STATES OF AMERICA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ressee(s)">
    <vt:lpwstr>   </vt:lpwstr>
  </property>
  <property fmtid="{D5CDD505-2E9C-101B-9397-08002B2CF9AE}" pid="3" name="Caption Bank Document">
    <vt:lpwstr>   </vt:lpwstr>
  </property>
  <property fmtid="{D5CDD505-2E9C-101B-9397-08002B2CF9AE}" pid="4" name="Cause No.">
    <vt:lpwstr>   </vt:lpwstr>
  </property>
  <property fmtid="{D5CDD505-2E9C-101B-9397-08002B2CF9AE}" pid="5" name="Client Name">
    <vt:lpwstr/>
  </property>
  <property fmtid="{D5CDD505-2E9C-101B-9397-08002B2CF9AE}" pid="6" name="Client No.">
    <vt:lpwstr/>
  </property>
  <property fmtid="{D5CDD505-2E9C-101B-9397-08002B2CF9AE}" pid="7" name="Date">
    <vt:lpwstr>   </vt:lpwstr>
  </property>
  <property fmtid="{D5CDD505-2E9C-101B-9397-08002B2CF9AE}" pid="8" name="Doc Name">
    <vt:lpwstr>   </vt:lpwstr>
  </property>
  <property fmtid="{D5CDD505-2E9C-101B-9397-08002B2CF9AE}" pid="9" name="Doc No.">
    <vt:lpwstr>Enron\\.FERCbrief.doc(FERCbrief.doc)</vt:lpwstr>
  </property>
  <property fmtid="{D5CDD505-2E9C-101B-9397-08002B2CF9AE}" pid="10" name="Doc Path">
    <vt:lpwstr>   </vt:lpwstr>
  </property>
  <property fmtid="{D5CDD505-2E9C-101B-9397-08002B2CF9AE}" pid="11" name="DocumentType">
    <vt:lpwstr>   </vt:lpwstr>
  </property>
  <property fmtid="{D5CDD505-2E9C-101B-9397-08002B2CF9AE}" pid="12" name="FooterStore">
    <vt:lpwstr>   </vt:lpwstr>
  </property>
  <property fmtid="{D5CDD505-2E9C-101B-9397-08002B2CF9AE}" pid="13" name="Local Office">
    <vt:lpwstr>   </vt:lpwstr>
  </property>
  <property fmtid="{D5CDD505-2E9C-101B-9397-08002B2CF9AE}" pid="14" name="Matter Name">
    <vt:lpwstr/>
  </property>
  <property fmtid="{D5CDD505-2E9C-101B-9397-08002B2CF9AE}" pid="15" name="Matter No.">
    <vt:lpwstr/>
  </property>
  <property fmtid="{D5CDD505-2E9C-101B-9397-08002B2CF9AE}" pid="16" name="Orig Doc Path">
    <vt:lpwstr>   </vt:lpwstr>
  </property>
  <property fmtid="{D5CDD505-2E9C-101B-9397-08002B2CF9AE}" pid="17" name="Parties">
    <vt:lpwstr>   </vt:lpwstr>
  </property>
  <property fmtid="{D5CDD505-2E9C-101B-9397-08002B2CF9AE}" pid="18" name="Signer(s)">
    <vt:lpwstr>   </vt:lpwstr>
  </property>
</Properties>
</file>