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If the Rate is invalidated by a) abolishment or amendment of FERC's Alternative Rates Policy Statement (adopted in Docket No. ____________)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is lower than the Rate, this Agreement and the FTS-1 Agreement shall automatically terminate as of the date such FERC order or other governmental action is final.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2001-03-26T18:36:00Z</dcterms:created>
  <dc:creator>sscott3</dc:creator>
  <dc:description/>
  <dc:language>en-CA</dc:language>
  <cp:lastModifiedBy>sscott3</cp:lastModifiedBy>
  <dcterms:modified xsi:type="dcterms:W3CDTF">2001-03-26T19:06:00Z</dcterms:modified>
  <cp:revision>1</cp:revision>
  <dc:subject/>
  <dc:title>If the Rate is invalidated by a) abolishment or amendment of FERC's Alternative Rates Policy Statement (adopted in Docket No</dc:title>
</cp:coreProperties>
</file>