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June 23, 2001</w:t>
      </w:r>
    </w:p>
    <w:p>
      <w:pPr>
        <w:pStyle w:val="Normal"/>
        <w:jc w:val="center"/>
        <w:rPr>
          <w:b/>
          <w:bCs/>
        </w:rPr>
      </w:pPr>
      <w:r>
        <w:rPr>
          <w:b/>
          <w:bCs/>
        </w:rPr>
        <w:t>Confidential Atty-Client Work Product</w:t>
      </w:r>
    </w:p>
    <w:p>
      <w:pPr>
        <w:pStyle w:val="Normal"/>
        <w:rPr>
          <w:b/>
          <w:bCs/>
        </w:rPr>
      </w:pPr>
      <w:r>
        <w:rPr>
          <w:b/>
          <w:bCs/>
        </w:rPr>
      </w:r>
    </w:p>
    <w:p>
      <w:pPr>
        <w:pStyle w:val="Heading2"/>
        <w:ind w:hanging="0" w:start="0"/>
        <w:jc w:val="center"/>
        <w:rPr/>
      </w:pPr>
      <w:r>
        <w:rPr/>
        <w:t>Near-Term Steps for Improving Electric Markets in the U.S. West</w:t>
      </w:r>
    </w:p>
    <w:p>
      <w:pPr>
        <w:pStyle w:val="Normal"/>
        <w:jc w:val="center"/>
        <w:rPr>
          <w:b/>
          <w:bCs/>
        </w:rPr>
      </w:pPr>
      <w:r>
        <w:rPr>
          <w:b/>
          <w:bCs/>
        </w:rPr>
      </w:r>
    </w:p>
    <w:p>
      <w:pPr>
        <w:pStyle w:val="Normal"/>
        <w:jc w:val="center"/>
        <w:rPr>
          <w:b/>
          <w:bCs/>
        </w:rPr>
      </w:pPr>
      <w:r>
        <w:rPr>
          <w:b/>
          <w:bCs/>
        </w:rPr>
        <w:t>(Message Points to Federal Energy Regulatory Commission Staff)</w:t>
      </w:r>
    </w:p>
    <w:p>
      <w:pPr>
        <w:pStyle w:val="Normal"/>
        <w:rPr/>
      </w:pPr>
      <w:r>
        <w:rPr/>
      </w:r>
    </w:p>
    <w:p>
      <w:pPr>
        <w:pStyle w:val="Normal"/>
        <w:numPr>
          <w:ilvl w:val="0"/>
          <w:numId w:val="2"/>
        </w:numPr>
        <w:rPr>
          <w:b/>
          <w:bCs/>
        </w:rPr>
      </w:pPr>
      <w:r>
        <w:rPr>
          <w:b/>
          <w:bCs/>
        </w:rPr>
        <w:t>California ISO (CAISO)</w:t>
      </w:r>
    </w:p>
    <w:p>
      <w:pPr>
        <w:pStyle w:val="Normal"/>
        <w:numPr>
          <w:ilvl w:val="1"/>
          <w:numId w:val="2"/>
        </w:numPr>
        <w:rPr/>
      </w:pPr>
      <w:r>
        <w:rPr/>
        <w:t>Enron’s biggest issues are governance and the creditworthiness of buying entities but these issues are being actively litigated.</w:t>
      </w:r>
    </w:p>
    <w:p>
      <w:pPr>
        <w:pStyle w:val="Normal"/>
        <w:numPr>
          <w:ilvl w:val="1"/>
          <w:numId w:val="2"/>
        </w:numPr>
        <w:rPr/>
      </w:pPr>
      <w:r>
        <w:rPr/>
        <w:t>Electric markets have proven to exhibit high price volatility.  For such markets, more information—not less—is needed.</w:t>
      </w:r>
    </w:p>
    <w:p>
      <w:pPr>
        <w:pStyle w:val="Normal"/>
        <w:numPr>
          <w:ilvl w:val="2"/>
          <w:numId w:val="2"/>
        </w:numPr>
        <w:rPr/>
      </w:pPr>
      <w:r>
        <w:rPr/>
        <w:t>Pure marketers—like Enron—serve both buyers (consumers) and sellers (producers)</w:t>
      </w:r>
    </w:p>
    <w:p>
      <w:pPr>
        <w:pStyle w:val="Normal"/>
        <w:numPr>
          <w:ilvl w:val="2"/>
          <w:numId w:val="2"/>
        </w:numPr>
        <w:rPr/>
      </w:pPr>
      <w:r>
        <w:rPr/>
        <w:t>Marketer efforts to collect and act upon market information improves market efficiency and does not disproportionately benefit “producers” or “consumers”</w:t>
      </w:r>
    </w:p>
    <w:p>
      <w:pPr>
        <w:pStyle w:val="Normal"/>
        <w:numPr>
          <w:ilvl w:val="1"/>
          <w:numId w:val="2"/>
        </w:numPr>
        <w:rPr/>
      </w:pPr>
      <w:r>
        <w:rPr/>
        <w:t>CAISO and its “independent” Market Surveillance Committee (MSC) have the wrong philosophy regarding information transparency.</w:t>
      </w:r>
    </w:p>
    <w:p>
      <w:pPr>
        <w:pStyle w:val="Normal"/>
        <w:numPr>
          <w:ilvl w:val="2"/>
          <w:numId w:val="2"/>
        </w:numPr>
        <w:rPr/>
      </w:pPr>
      <w:r>
        <w:rPr/>
        <w:t xml:space="preserve">Case in point: ``Energy traders trade information among themselves,'' the head of CAISO’s Department of Market Analysis (DMA)  Sheffrin has charged, comparing it to insider-trading. ``These traders are calling each other up all the time.'' </w:t>
      </w:r>
    </w:p>
    <w:p>
      <w:pPr>
        <w:pStyle w:val="Normal"/>
        <w:numPr>
          <w:ilvl w:val="1"/>
          <w:numId w:val="2"/>
        </w:numPr>
        <w:rPr/>
      </w:pPr>
      <w:r>
        <w:rPr/>
        <w:t>To promote well functioning markets in the markets it oversees, FERC should aim for the goal of maximum information transparency for the benefit of all market participants, including buyers and sellers.  Information transparency can be improved specifically in the following areas:</w:t>
      </w:r>
    </w:p>
    <w:p>
      <w:pPr>
        <w:pStyle w:val="Normal"/>
        <w:numPr>
          <w:ilvl w:val="2"/>
          <w:numId w:val="2"/>
        </w:numPr>
        <w:rPr/>
      </w:pPr>
      <w:r>
        <w:rPr/>
        <w:t>Available Transmission Capacity (ATC) and the algorithm used to determine ATC</w:t>
      </w:r>
    </w:p>
    <w:p>
      <w:pPr>
        <w:pStyle w:val="Normal"/>
        <w:numPr>
          <w:ilvl w:val="2"/>
          <w:numId w:val="2"/>
        </w:numPr>
        <w:rPr/>
      </w:pPr>
      <w:r>
        <w:rPr/>
        <w:t>Real time (R/T) price data:</w:t>
      </w:r>
    </w:p>
    <w:p>
      <w:pPr>
        <w:pStyle w:val="Normal"/>
        <w:numPr>
          <w:ilvl w:val="3"/>
          <w:numId w:val="2"/>
        </w:numPr>
        <w:rPr/>
      </w:pPr>
      <w:r>
        <w:rPr/>
        <w:t>Out-of-market information (CAISO no longer posts such information, except on an anecdotal, delayed basis)</w:t>
      </w:r>
    </w:p>
    <w:p>
      <w:pPr>
        <w:pStyle w:val="Normal"/>
        <w:numPr>
          <w:ilvl w:val="3"/>
          <w:numId w:val="2"/>
        </w:numPr>
        <w:rPr/>
      </w:pPr>
      <w:r>
        <w:rPr/>
        <w:t>During periods when price mitigation is in effect, pay-as-bid average prices (CAISO has never posted such information, except on an anecdotal, delayed basis)</w:t>
      </w:r>
    </w:p>
    <w:p>
      <w:pPr>
        <w:pStyle w:val="Normal"/>
        <w:numPr>
          <w:ilvl w:val="3"/>
          <w:numId w:val="2"/>
        </w:numPr>
        <w:rPr/>
      </w:pPr>
      <w:r>
        <w:rPr/>
        <w:t>Bid price-quantity information (subject to time delay)</w:t>
      </w:r>
    </w:p>
    <w:p>
      <w:pPr>
        <w:pStyle w:val="Normal"/>
        <w:numPr>
          <w:ilvl w:val="2"/>
          <w:numId w:val="2"/>
        </w:numPr>
        <w:rPr/>
      </w:pPr>
      <w:r>
        <w:rPr/>
        <w:t>Other market data, including:</w:t>
      </w:r>
    </w:p>
    <w:p>
      <w:pPr>
        <w:pStyle w:val="Normal"/>
        <w:numPr>
          <w:ilvl w:val="3"/>
          <w:numId w:val="2"/>
        </w:numPr>
        <w:rPr/>
      </w:pPr>
      <w:r>
        <w:rPr/>
        <w:t>Unit-specific generator output data both in R/T and on a scheduled basis</w:t>
      </w:r>
    </w:p>
    <w:p>
      <w:pPr>
        <w:pStyle w:val="Normal"/>
        <w:numPr>
          <w:ilvl w:val="3"/>
          <w:numId w:val="2"/>
        </w:numPr>
        <w:rPr/>
      </w:pPr>
      <w:r>
        <w:rPr/>
        <w:t>Real time transmission flows by branch group</w:t>
      </w:r>
    </w:p>
    <w:p>
      <w:pPr>
        <w:pStyle w:val="Normal"/>
        <w:numPr>
          <w:ilvl w:val="3"/>
          <w:numId w:val="2"/>
        </w:numPr>
        <w:rPr/>
      </w:pPr>
      <w:r>
        <w:rPr/>
        <w:t>Ancillary services bid price-quantity information (subject to time delay)</w:t>
      </w:r>
    </w:p>
    <w:p>
      <w:pPr>
        <w:pStyle w:val="Normal"/>
        <w:numPr>
          <w:ilvl w:val="3"/>
          <w:numId w:val="2"/>
        </w:numPr>
        <w:rPr/>
      </w:pPr>
      <w:r>
        <w:rPr/>
        <w:t>Congestion model algorithm and bid price-quantity information (subject to time delay)</w:t>
      </w:r>
    </w:p>
    <w:p>
      <w:pPr>
        <w:pStyle w:val="Normal"/>
        <w:numPr>
          <w:ilvl w:val="3"/>
          <w:numId w:val="2"/>
        </w:numPr>
        <w:rPr/>
      </w:pPr>
      <w:r>
        <w:rPr/>
        <w:t>Note that additional detail on desired information release was spelled out in Enron letter to Senator Wyden and was reflected in draft (un-introduced) legislation</w:t>
      </w:r>
    </w:p>
    <w:p>
      <w:pPr>
        <w:pStyle w:val="Normal"/>
        <w:rPr/>
      </w:pPr>
      <w:r>
        <w:rPr/>
      </w:r>
    </w:p>
    <w:p>
      <w:pPr>
        <w:pStyle w:val="Normal"/>
        <w:numPr>
          <w:ilvl w:val="0"/>
          <w:numId w:val="2"/>
        </w:numPr>
        <w:rPr>
          <w:b/>
          <w:bCs/>
        </w:rPr>
      </w:pPr>
      <w:r>
        <w:rPr>
          <w:b/>
          <w:bCs/>
        </w:rPr>
        <w:t>CDWR</w:t>
      </w:r>
    </w:p>
    <w:p>
      <w:pPr>
        <w:pStyle w:val="Normal"/>
        <w:numPr>
          <w:ilvl w:val="1"/>
          <w:numId w:val="2"/>
        </w:numPr>
        <w:rPr/>
      </w:pPr>
      <w:r>
        <w:rPr/>
        <w:t>CDWR has admitted that it is an unsophisticated buyer (likens itself to high school team attempting to play in the major leagues)</w:t>
      </w:r>
    </w:p>
    <w:p>
      <w:pPr>
        <w:pStyle w:val="Normal"/>
        <w:numPr>
          <w:ilvl w:val="1"/>
          <w:numId w:val="2"/>
        </w:numPr>
        <w:rPr/>
      </w:pPr>
      <w:r>
        <w:rPr/>
        <w:t>Retail customers need responsible agents procuring wholesale power</w:t>
      </w:r>
    </w:p>
    <w:p>
      <w:pPr>
        <w:pStyle w:val="Normal"/>
        <w:numPr>
          <w:ilvl w:val="2"/>
          <w:numId w:val="2"/>
        </w:numPr>
        <w:rPr/>
      </w:pPr>
      <w:r>
        <w:rPr/>
        <w:t>Core / noncore split would clearly demarcate responsibility for load</w:t>
      </w:r>
    </w:p>
    <w:p>
      <w:pPr>
        <w:pStyle w:val="Normal"/>
        <w:numPr>
          <w:ilvl w:val="1"/>
          <w:numId w:val="2"/>
        </w:numPr>
        <w:rPr/>
      </w:pPr>
      <w:r>
        <w:rPr/>
        <w:t>CDWR should stop entering into any more long term deals and turn over buying responsibility to other entities as soon as possible.  Consistent with core/noncore split, this should be as follows:</w:t>
      </w:r>
    </w:p>
    <w:p>
      <w:pPr>
        <w:pStyle w:val="Normal"/>
        <w:numPr>
          <w:ilvl w:val="2"/>
          <w:numId w:val="2"/>
        </w:numPr>
        <w:rPr/>
      </w:pPr>
      <w:r>
        <w:rPr/>
        <w:t>Allow utility to remain provider of last resort to small (core) customers</w:t>
      </w:r>
    </w:p>
    <w:p>
      <w:pPr>
        <w:pStyle w:val="Normal"/>
        <w:numPr>
          <w:ilvl w:val="2"/>
          <w:numId w:val="2"/>
        </w:numPr>
        <w:rPr/>
      </w:pPr>
      <w:r>
        <w:rPr/>
        <w:t>Require larger (noncore) customers to be responsible for their own procurement</w:t>
      </w:r>
    </w:p>
    <w:p>
      <w:pPr>
        <w:pStyle w:val="Normal"/>
        <w:rPr/>
      </w:pPr>
      <w:r>
        <w:rPr/>
      </w:r>
    </w:p>
    <w:p>
      <w:pPr>
        <w:pStyle w:val="Normal"/>
        <w:numPr>
          <w:ilvl w:val="0"/>
          <w:numId w:val="2"/>
        </w:numPr>
        <w:rPr>
          <w:b/>
          <w:bCs/>
        </w:rPr>
      </w:pPr>
      <w:r>
        <w:rPr>
          <w:b/>
          <w:bCs/>
        </w:rPr>
        <w:t>RTOs in the West</w:t>
      </w:r>
    </w:p>
    <w:p>
      <w:pPr>
        <w:pStyle w:val="Normal"/>
        <w:numPr>
          <w:ilvl w:val="1"/>
          <w:numId w:val="2"/>
        </w:numPr>
        <w:rPr/>
      </w:pPr>
      <w:r>
        <w:rPr/>
        <w:t>FERC has spoken numerous times that RTOs in the west are necessary for functioning competitive markets.  However, the actions of stakeholder-driven RTO working groups as well as the participating transmission-owners (PTOs) do not match the spirit of FERC’s directive.</w:t>
      </w:r>
    </w:p>
    <w:p>
      <w:pPr>
        <w:pStyle w:val="Normal"/>
        <w:numPr>
          <w:ilvl w:val="2"/>
          <w:numId w:val="2"/>
        </w:numPr>
        <w:rPr/>
      </w:pPr>
      <w:r>
        <w:rPr/>
        <w:t>RTO West</w:t>
      </w:r>
    </w:p>
    <w:p>
      <w:pPr>
        <w:pStyle w:val="Normal"/>
        <w:numPr>
          <w:ilvl w:val="3"/>
          <w:numId w:val="2"/>
        </w:numPr>
        <w:rPr/>
      </w:pPr>
      <w:r>
        <w:rPr/>
        <w:t>Development of a Stage 2 filing (detailed tariffs in advance of formation of RTO Board) is behind schedule.</w:t>
      </w:r>
    </w:p>
    <w:p>
      <w:pPr>
        <w:pStyle w:val="Normal"/>
        <w:numPr>
          <w:ilvl w:val="4"/>
          <w:numId w:val="2"/>
        </w:numPr>
        <w:rPr/>
      </w:pPr>
      <w:r>
        <w:rPr/>
        <w:t xml:space="preserve">Informational filing in August will be incomplete; tariff will be December at the earliest. </w:t>
      </w:r>
    </w:p>
    <w:p>
      <w:pPr>
        <w:pStyle w:val="Normal"/>
        <w:numPr>
          <w:ilvl w:val="3"/>
          <w:numId w:val="2"/>
        </w:numPr>
        <w:rPr/>
      </w:pPr>
      <w:r>
        <w:rPr/>
        <w:t>Public power continues to attempt to deter formation.</w:t>
      </w:r>
    </w:p>
    <w:p>
      <w:pPr>
        <w:pStyle w:val="Normal"/>
        <w:numPr>
          <w:ilvl w:val="3"/>
          <w:numId w:val="2"/>
        </w:numPr>
        <w:rPr/>
      </w:pPr>
      <w:r>
        <w:rPr/>
        <w:t>With regard to congestion Management, PTO’s stalled development for months on fruitless contract path discussion.</w:t>
      </w:r>
    </w:p>
    <w:p>
      <w:pPr>
        <w:pStyle w:val="Normal"/>
        <w:numPr>
          <w:ilvl w:val="2"/>
          <w:numId w:val="2"/>
        </w:numPr>
        <w:rPr/>
      </w:pPr>
      <w:r>
        <w:rPr/>
        <w:t>Desert STAR</w:t>
      </w:r>
    </w:p>
    <w:p>
      <w:pPr>
        <w:pStyle w:val="Normal"/>
        <w:numPr>
          <w:ilvl w:val="3"/>
          <w:numId w:val="2"/>
        </w:numPr>
        <w:rPr/>
      </w:pPr>
      <w:r>
        <w:rPr/>
        <w:t>Significant Schedule Slip</w:t>
      </w:r>
    </w:p>
    <w:p>
      <w:pPr>
        <w:pStyle w:val="Normal"/>
        <w:numPr>
          <w:ilvl w:val="3"/>
          <w:numId w:val="2"/>
        </w:numPr>
        <w:rPr/>
      </w:pPr>
      <w:r>
        <w:rPr/>
        <w:t>PTO’s have basically filed their own document and have essentially ignored collaborative process in some areas</w:t>
      </w:r>
    </w:p>
    <w:p>
      <w:pPr>
        <w:pStyle w:val="Normal"/>
        <w:numPr>
          <w:ilvl w:val="3"/>
          <w:numId w:val="2"/>
        </w:numPr>
        <w:rPr/>
      </w:pPr>
      <w:r>
        <w:rPr/>
        <w:t>Significant substantive issues remain including, budgeting, congestion management, interconnection agreements, and whether RTO should be region-wide vs. PTO specific</w:t>
      </w:r>
    </w:p>
    <w:p>
      <w:pPr>
        <w:pStyle w:val="Normal"/>
        <w:numPr>
          <w:ilvl w:val="1"/>
          <w:numId w:val="2"/>
        </w:numPr>
        <w:rPr/>
      </w:pPr>
      <w:r>
        <w:rPr/>
        <w:t>FERC needs to actively manage the RTO process more closely</w:t>
      </w:r>
    </w:p>
    <w:p>
      <w:pPr>
        <w:pStyle w:val="Normal"/>
        <w:numPr>
          <w:ilvl w:val="2"/>
          <w:numId w:val="2"/>
        </w:numPr>
        <w:rPr/>
      </w:pPr>
      <w:r>
        <w:rPr/>
        <w:t>Set up milestones with deadlines</w:t>
      </w:r>
    </w:p>
    <w:p>
      <w:pPr>
        <w:pStyle w:val="Normal"/>
        <w:numPr>
          <w:ilvl w:val="2"/>
          <w:numId w:val="2"/>
        </w:numPr>
        <w:rPr/>
      </w:pPr>
      <w:r>
        <w:rPr/>
        <w:t>Increased staff participation</w:t>
      </w:r>
    </w:p>
    <w:p>
      <w:pPr>
        <w:pStyle w:val="Normal"/>
        <w:numPr>
          <w:ilvl w:val="3"/>
          <w:numId w:val="2"/>
        </w:numPr>
        <w:rPr/>
      </w:pPr>
      <w:r>
        <w:rPr/>
        <w:t>Suggest quarterly meetings in D.C. to facilitate FERC staff participation</w:t>
      </w:r>
    </w:p>
    <w:p>
      <w:pPr>
        <w:pStyle w:val="Normal"/>
        <w:numPr>
          <w:ilvl w:val="1"/>
          <w:numId w:val="2"/>
        </w:numPr>
        <w:rPr/>
      </w:pPr>
      <w:r>
        <w:rPr/>
        <w:t>West-wide RTO</w:t>
      </w:r>
    </w:p>
    <w:p>
      <w:pPr>
        <w:pStyle w:val="Normal"/>
        <w:numPr>
          <w:ilvl w:val="2"/>
          <w:numId w:val="2"/>
        </w:numPr>
        <w:rPr/>
      </w:pPr>
      <w:r>
        <w:rPr/>
        <w:t>Although creation of a West wide RTO would be ideal, Enron can support integration of CAISO after RTO West and/or DSTAR is created?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end"/>
      <w:outlineLvl w:val="2"/>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2001-06-11T19:02:00Z</dcterms:created>
  <dc:creator>acomnes</dc:creator>
  <dc:description/>
  <dc:language>en-CA</dc:language>
  <cp:lastModifiedBy>acomnes</cp:lastModifiedBy>
  <dcterms:modified xsi:type="dcterms:W3CDTF">2001-06-24T04:55:00Z</dcterms:modified>
  <cp:revision>16</cp:revision>
  <dc:subject/>
  <dc:title>Confidential Atty-Client Work Produc</dc:title>
</cp:coreProperties>
</file>