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r>
        <w:rPr/>
        <w:t>FERC Talking Points - Southeastern  RTO</w:t>
      </w:r>
    </w:p>
    <w:p>
      <w:pPr>
        <w:pStyle w:val="Normal"/>
        <w:rPr/>
      </w:pPr>
      <w:r>
        <w:rPr/>
      </w:r>
    </w:p>
    <w:p>
      <w:pPr>
        <w:pStyle w:val="Normal"/>
        <w:rPr/>
      </w:pPr>
      <w:r>
        <w:rPr/>
      </w:r>
    </w:p>
    <w:p>
      <w:pPr>
        <w:pStyle w:val="Normal"/>
        <w:rPr/>
      </w:pPr>
      <w:r>
        <w:rPr/>
      </w:r>
    </w:p>
    <w:p>
      <w:pPr>
        <w:pStyle w:val="Normal"/>
        <w:rPr/>
      </w:pPr>
      <w:r>
        <w:rPr/>
        <w:t>NOTE: We have been referring to this RTO as “Southern Transco”.  The name given to the proposed RTO by Southern Co. is Southeastern RTO.  Southern intends it to cover the Southern Subregion of SERC, which encompasses the Southern control area, including the members of the Georgia Integrated Transmission System (MEAG, Ga. Trans. Corp. and Dalton Utilities), and the control areas of AEC and SMEPA.  The proposed RTO will be a for-profit Gridco.  It will not own any of the initial transmission it controls, but may own new additions.  Profits and losses flow back to the transmission owners that enter into a LLC agreement.  Transmission owners can turn over functional control of their transmission to the RTO without being parties to the LLC agreement.</w:t>
      </w:r>
    </w:p>
    <w:p>
      <w:pPr>
        <w:pStyle w:val="Normal"/>
        <w:rPr/>
      </w:pPr>
      <w:r>
        <w:rPr/>
      </w:r>
    </w:p>
    <w:p>
      <w:pPr>
        <w:pStyle w:val="Normal"/>
        <w:rPr/>
      </w:pPr>
      <w:r>
        <w:rPr/>
        <w:t>Also note that Southern has not provided any of the documentation they are planning to file with FERC; so, these talking points are based on presentations made by Southern and discussions with Southern on the principles they are considering.  The filing could significantly change the following points.</w:t>
      </w:r>
    </w:p>
    <w:p>
      <w:pPr>
        <w:pStyle w:val="Normal"/>
        <w:rPr/>
      </w:pPr>
      <w:r>
        <w:rPr/>
      </w:r>
    </w:p>
    <w:p>
      <w:pPr>
        <w:pStyle w:val="Normal"/>
        <w:rPr/>
      </w:pPr>
      <w:r>
        <w:rPr/>
        <w:t xml:space="preserve">                                                         </w:t>
      </w:r>
      <w:r>
        <w:rPr>
          <w:b/>
        </w:rPr>
        <w:t>Talking Points</w:t>
      </w:r>
    </w:p>
    <w:p>
      <w:pPr>
        <w:pStyle w:val="Normal"/>
        <w:rPr>
          <w:b/>
        </w:rPr>
      </w:pPr>
      <w:r>
        <w:rPr>
          <w:b/>
        </w:rPr>
      </w:r>
    </w:p>
    <w:p>
      <w:pPr>
        <w:pStyle w:val="Normal"/>
        <w:numPr>
          <w:ilvl w:val="0"/>
          <w:numId w:val="1"/>
        </w:numPr>
        <w:rPr/>
      </w:pPr>
      <w:r>
        <w:rPr>
          <w:b/>
        </w:rPr>
        <w:t xml:space="preserve">Collaboration </w:t>
      </w:r>
      <w:r>
        <w:rPr/>
        <w:t xml:space="preserve"> - There has been no collaborative process established by Southern, and none is proposed, to ensure that all market participants have an input to the development of the RTO.  Southern has been willing to enter into bilateral discussions with the parties, but given the late start by Southern, this approach did not provide the opportunity for all parties to be heard or for serious consideration to be given to approaches other than those proposed by Southern.</w:t>
      </w:r>
    </w:p>
    <w:p>
      <w:pPr>
        <w:pStyle w:val="Normal"/>
        <w:rPr>
          <w:b/>
        </w:rPr>
      </w:pPr>
      <w:r>
        <w:rPr>
          <w:b/>
        </w:rPr>
      </w:r>
    </w:p>
    <w:p>
      <w:pPr>
        <w:pStyle w:val="Normal"/>
        <w:numPr>
          <w:ilvl w:val="0"/>
          <w:numId w:val="1"/>
        </w:numPr>
        <w:rPr/>
      </w:pPr>
      <w:r>
        <w:rPr>
          <w:b/>
        </w:rPr>
        <w:t>Proposed Scope</w:t>
      </w:r>
      <w:r>
        <w:rPr/>
        <w:t xml:space="preserve"> – Limiting the scope of the RTO to the Southern Subregion of SERC leaves concern about seams issues with the Florida RTO and is basically a single system (Southern) RTO.</w:t>
      </w:r>
    </w:p>
    <w:p>
      <w:pPr>
        <w:pStyle w:val="Normal"/>
        <w:rPr/>
      </w:pPr>
      <w:r>
        <w:rPr/>
      </w:r>
    </w:p>
    <w:p>
      <w:pPr>
        <w:pStyle w:val="Normal"/>
        <w:numPr>
          <w:ilvl w:val="0"/>
          <w:numId w:val="1"/>
        </w:numPr>
        <w:rPr/>
      </w:pPr>
      <w:r>
        <w:rPr>
          <w:b/>
        </w:rPr>
        <w:t xml:space="preserve">Governance </w:t>
      </w:r>
      <w:r>
        <w:rPr/>
        <w:t xml:space="preserve">– The transmission owners (TOs) retain a right of first refusal to build any new transmission the RTO determines is necessary.  If the TOs decide not to finance and build the transmission and the RTO does not have the capability to finance the transmission, it is not clear what happens.  </w:t>
      </w:r>
    </w:p>
    <w:p>
      <w:pPr>
        <w:pStyle w:val="Normal"/>
        <w:rPr/>
      </w:pPr>
      <w:r>
        <w:rPr/>
      </w:r>
    </w:p>
    <w:p>
      <w:pPr>
        <w:pStyle w:val="Normal"/>
        <w:ind w:start="360" w:end="0"/>
        <w:rPr/>
      </w:pPr>
      <w:r>
        <w:rPr/>
        <w:t>The RTO initial board is selected from candidates and alternates provided by a search firm selected by the TOs.   This may be okay as long as the selection of the search firm and directions given to the firm are not biased by the TOs.  The CEO will be hired by the TOs with an initial short-term contract (1-2 years).  The board should be selected first and the board should select the officers of the RTO.  The board is restricted in taking certain actions, including changing the incentive plans for the officers, without approval by the TOs.  The board should be free to set the incentive plans.  The combination of concerns about the board selection process, the CEO being hired by the TOs and the board being restricted in setting incentive plans, make the independence of the RTO highly questionable.</w:t>
      </w:r>
    </w:p>
    <w:p>
      <w:pPr>
        <w:pStyle w:val="Normal"/>
        <w:ind w:start="360" w:end="0"/>
        <w:rPr/>
      </w:pPr>
      <w:r>
        <w:rPr/>
      </w:r>
    </w:p>
    <w:p>
      <w:pPr>
        <w:pStyle w:val="Normal"/>
        <w:ind w:start="360" w:end="0"/>
        <w:rPr/>
      </w:pPr>
      <w:r>
        <w:rPr/>
        <w:t>No formal process is provided for concerns of the marketing participants to be directed to the board.  Any marketing participant can petition the board to hear their concerns, but this is a weak substitute for having an established process that ensures these concerns reach the board.</w:t>
      </w:r>
    </w:p>
    <w:p>
      <w:pPr>
        <w:pStyle w:val="Normal"/>
        <w:ind w:start="360" w:end="0"/>
        <w:rPr/>
      </w:pPr>
      <w:r>
        <w:rPr/>
      </w:r>
    </w:p>
    <w:p>
      <w:pPr>
        <w:pStyle w:val="Normal"/>
        <w:numPr>
          <w:ilvl w:val="0"/>
          <w:numId w:val="2"/>
        </w:numPr>
        <w:rPr/>
      </w:pPr>
      <w:r>
        <w:rPr>
          <w:b/>
        </w:rPr>
        <w:t>Market Structure</w:t>
      </w:r>
      <w:r>
        <w:rPr/>
        <w:t xml:space="preserve"> – Southern proposes that the RTO be a single control area, but makes provisions for multiple control areas to be included if necessary to attract other members to the RTO.  The RTO needs to be a single control area, especially if the scope is restricted to the Southern Subregion of SERC, to provide for efficient operations, reserve sharing, imbalance settlements, etc.</w:t>
      </w:r>
    </w:p>
    <w:p>
      <w:pPr>
        <w:pStyle w:val="Normal"/>
        <w:rPr>
          <w:b/>
        </w:rPr>
      </w:pPr>
      <w:r>
        <w:rPr>
          <w:b/>
        </w:rPr>
      </w:r>
    </w:p>
    <w:p>
      <w:pPr>
        <w:pStyle w:val="BodyTextIndent"/>
        <w:rPr/>
      </w:pPr>
      <w:r>
        <w:rPr/>
        <w:t>Southern has recognized the importance of providing firm transmission rights (FTRs) on flowgates, but mixes this with transmission reservation being made on contract paths.  There are better transmission reservation mechanisms that avoid the confusion created by using contract paths.   Southern also proposes to have the RTO run the secondary market for FTRs.  This market should be independent of the RTO.</w:t>
      </w:r>
    </w:p>
    <w:p>
      <w:pPr>
        <w:pStyle w:val="BodyTextIndent"/>
        <w:ind w:start="0" w:end="0"/>
        <w:rPr/>
      </w:pPr>
      <w:r>
        <w:rPr/>
      </w:r>
    </w:p>
    <w:p>
      <w:pPr>
        <w:pStyle w:val="BodyTextIndent"/>
        <w:numPr>
          <w:ilvl w:val="0"/>
          <w:numId w:val="1"/>
        </w:numPr>
        <w:rPr/>
      </w:pPr>
      <w:r>
        <w:rPr>
          <w:b/>
        </w:rPr>
        <w:t>Transmission Planning</w:t>
      </w:r>
      <w:r>
        <w:rPr/>
        <w:t xml:space="preserve"> – As is the case with access to the board, there is no process that ensures that marketing participant will have an input to the transmission planning process.  The Planning Advisory Committee being proposed is touted as a forum for marketing participants, but they are not members of the Committee and there is no process that ensures that their concerns receive due consideration.</w:t>
      </w:r>
    </w:p>
    <w:p>
      <w:pPr>
        <w:pStyle w:val="BodyTextIndent"/>
        <w:rPr>
          <w:b/>
        </w:rPr>
      </w:pPr>
      <w:r>
        <w:rPr>
          <w:b/>
        </w:rPr>
      </w:r>
    </w:p>
    <w:p>
      <w:pPr>
        <w:pStyle w:val="BodyTextIndent"/>
        <w:rPr/>
      </w:pPr>
      <w:r>
        <w:rPr/>
        <w:t xml:space="preserve">The proposed RTO is clearly intended to be responsible for transmission operations and reliability, but since it does not own the transmission, it is proposed to be the “coordinator” for transmission service requests and generator interconnection requests.  In reality it is operating as agent for the members, but cannot set standards for interconnection requirements, control deadlines for interconnections being established or determine costs.  The final negotiations on these items have to be with the TOs.  This approach leads to the marketing participants having to deal with multiple standards and negotiations with multiple parties on schedules and costs. </w:t>
      </w:r>
    </w:p>
    <w:p>
      <w:pPr>
        <w:pStyle w:val="BodyTextIndent"/>
        <w:ind w:start="0" w:end="0"/>
        <w:rPr/>
      </w:pPr>
      <w:r>
        <w:rPr/>
      </w:r>
    </w:p>
    <w:p>
      <w:pPr>
        <w:pStyle w:val="BodyTextIndent"/>
        <w:numPr>
          <w:ilvl w:val="0"/>
          <w:numId w:val="1"/>
        </w:numPr>
        <w:rPr/>
      </w:pPr>
      <w:r>
        <w:rPr>
          <w:b/>
        </w:rPr>
        <w:t>Transmission Pricing</w:t>
      </w:r>
      <w:r>
        <w:rPr/>
        <w:t xml:space="preserve"> – Southern has proposed a single “postage stamp” rate for all wholesale transactions on the RTO transmission system, but retail load continues to be served under bundled rates of the members of the RTO serving the load.  It is proposed that a premium return be allowed for new transmission and incentives be built into the RTO rate for improving performance in several categories.  These adders to the RTO rate may be justified, but the devil is in the details on how much the adders increase costs to the market participants versus the benefits that can be expected.  The same concern exist on the allocation of transmission costs between retail and wholesale and the use of state approved rates-of-return as a basis for the initial return allowed the RTO.  The retention of separate rates for retail load also leaves a concern about the comparability of rates in the future when retail access becomes a reality.</w:t>
      </w:r>
    </w:p>
    <w:p>
      <w:pPr>
        <w:pStyle w:val="BodyTextIndent"/>
        <w:rPr>
          <w:b/>
        </w:rPr>
      </w:pPr>
      <w:r>
        <w:rPr>
          <w:b/>
        </w:rPr>
      </w:r>
    </w:p>
    <w:p>
      <w:pPr>
        <w:pStyle w:val="BodyTextIndent"/>
        <w:rPr/>
      </w:pPr>
      <w:r>
        <w:rPr/>
        <w:t xml:space="preserve">END </w:t>
      </w:r>
    </w:p>
    <w:p>
      <w:pPr>
        <w:pStyle w:val="Normal"/>
        <w:rPr>
          <w:b/>
        </w:rPr>
      </w:pPr>
      <w:r>
        <w:rPr>
          <w:b/>
        </w:rPr>
      </w:r>
    </w:p>
    <w:p>
      <w:pPr>
        <w:pStyle w:val="Normal"/>
        <w:rPr>
          <w:b/>
        </w:rPr>
      </w:pPr>
      <w:r>
        <w:rPr>
          <w:b/>
        </w:rPr>
      </w:r>
    </w:p>
    <w:p>
      <w:pPr>
        <w:pStyle w:val="Normal"/>
        <w:rPr/>
      </w:pPr>
      <w:r>
        <w:rPr/>
        <w:t xml:space="preserve">                                                       </w:t>
      </w: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4"/>
      <w:numFmt w:val="decimal"/>
      <w:lvlText w:val="%1"/>
      <w:lvlJc w:val="start"/>
      <w:pPr>
        <w:tabs>
          <w:tab w:val="num" w:pos="360"/>
        </w:tabs>
        <w:ind w:start="36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2000-10-13T15:09:00Z</dcterms:created>
  <dc:creator>Alvin J. Connor</dc:creator>
  <dc:description/>
  <dc:language>en-CA</dc:language>
  <cp:lastModifiedBy>jconnor2</cp:lastModifiedBy>
  <dcterms:modified xsi:type="dcterms:W3CDTF">2000-10-13T15:09:00Z</dcterms:modified>
  <cp:revision>2</cp:revision>
  <dc:subject/>
  <dc:title>                                                      FERC Talking Points - Southeastern  RTO</dc:title>
</cp:coreProperties>
</file>