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FERC Staff Report on Investigation</w:t>
      </w:r>
    </w:p>
    <w:p>
      <w:pPr>
        <w:pStyle w:val="Normal"/>
        <w:jc w:val="center"/>
        <w:rPr/>
      </w:pPr>
      <w:r>
        <w:rPr/>
        <w:t>Of Bulk Power Markets in the</w:t>
      </w:r>
    </w:p>
    <w:p>
      <w:pPr>
        <w:pStyle w:val="Normal"/>
        <w:jc w:val="center"/>
        <w:rPr/>
      </w:pPr>
      <w:r>
        <w:rPr/>
        <w:t xml:space="preserve">Northeast Region </w:t>
      </w:r>
    </w:p>
    <w:p>
      <w:pPr>
        <w:pStyle w:val="Normal"/>
        <w:jc w:val="center"/>
        <w:rPr/>
      </w:pPr>
      <w:r>
        <w:rPr/>
        <w:t>November 1, 2000</w:t>
      </w:r>
    </w:p>
    <w:p>
      <w:pPr>
        <w:pStyle w:val="Normal"/>
        <w:jc w:val="center"/>
        <w:rPr/>
      </w:pPr>
      <w:r>
        <w:rPr/>
      </w:r>
    </w:p>
    <w:p>
      <w:pPr>
        <w:pStyle w:val="Heading1"/>
        <w:ind w:hanging="0" w:start="0"/>
        <w:rPr/>
      </w:pPr>
      <w:r>
        <w:rPr/>
        <w:t>Introduction and Conclusions</w:t>
      </w:r>
    </w:p>
    <w:p>
      <w:pPr>
        <w:pStyle w:val="Normal"/>
        <w:rPr/>
      </w:pPr>
      <w:r>
        <w:rPr/>
      </w:r>
    </w:p>
    <w:p>
      <w:pPr>
        <w:pStyle w:val="Normal"/>
        <w:rPr/>
      </w:pPr>
      <w:r>
        <w:rPr/>
        <w:t>The PJM transition to a market environment has been relatively smooth; the NYISO and NE ISO have had many start up problems, particularly with ancillary services.</w:t>
      </w:r>
    </w:p>
    <w:p>
      <w:pPr>
        <w:pStyle w:val="Normal"/>
        <w:rPr/>
      </w:pPr>
      <w:r>
        <w:rPr/>
      </w:r>
    </w:p>
    <w:p>
      <w:pPr>
        <w:pStyle w:val="Normal"/>
        <w:rPr/>
      </w:pPr>
      <w:r>
        <w:rPr/>
        <w:t>New York and New England ISOs continue to intervene in the markets to correct problems, and the inability of the ISOs to fix the problems is a concern.</w:t>
      </w:r>
    </w:p>
    <w:p>
      <w:pPr>
        <w:pStyle w:val="Normal"/>
        <w:rPr/>
      </w:pPr>
      <w:r>
        <w:rPr/>
      </w:r>
    </w:p>
    <w:p>
      <w:pPr>
        <w:pStyle w:val="Normal"/>
        <w:rPr/>
      </w:pPr>
      <w:r>
        <w:rPr/>
        <w:t>New England’s failure to development a congestion management system results in significant costs to market participants.</w:t>
      </w:r>
    </w:p>
    <w:p>
      <w:pPr>
        <w:pStyle w:val="Normal"/>
        <w:rPr/>
      </w:pPr>
      <w:r>
        <w:rPr/>
      </w:r>
    </w:p>
    <w:p>
      <w:pPr>
        <w:pStyle w:val="Normal"/>
        <w:rPr/>
      </w:pPr>
      <w:r>
        <w:rPr/>
        <w:t>New York ISO has market rules, structures and software that impede the flow of power throughout the northeast.</w:t>
      </w:r>
    </w:p>
    <w:p>
      <w:pPr>
        <w:pStyle w:val="Normal"/>
        <w:rPr/>
      </w:pPr>
      <w:r>
        <w:rPr/>
      </w:r>
    </w:p>
    <w:p>
      <w:pPr>
        <w:pStyle w:val="Normal"/>
        <w:rPr/>
      </w:pPr>
      <w:r>
        <w:rPr/>
        <w:t>Significant transmission constraints exist, particularly in New York City and Long Island.</w:t>
      </w:r>
    </w:p>
    <w:p>
      <w:pPr>
        <w:pStyle w:val="Normal"/>
        <w:rPr/>
      </w:pPr>
      <w:r>
        <w:rPr/>
      </w:r>
    </w:p>
    <w:p>
      <w:pPr>
        <w:pStyle w:val="Normal"/>
        <w:rPr/>
      </w:pPr>
      <w:r>
        <w:rPr/>
        <w:t>Generation in the region is growing short and new generation is not expected at least until 2002.</w:t>
      </w:r>
    </w:p>
    <w:p>
      <w:pPr>
        <w:pStyle w:val="Normal"/>
        <w:rPr/>
      </w:pPr>
      <w:r>
        <w:rPr/>
      </w:r>
    </w:p>
    <w:p>
      <w:pPr>
        <w:pStyle w:val="Normal"/>
        <w:rPr/>
      </w:pPr>
      <w:r>
        <w:rPr/>
        <w:t>The ISOs focus primarily on their own internal problems and pay little attention to working on regional solutions.</w:t>
      </w:r>
    </w:p>
    <w:p>
      <w:pPr>
        <w:pStyle w:val="Normal"/>
        <w:rPr/>
      </w:pPr>
      <w:r>
        <w:rPr/>
      </w:r>
    </w:p>
    <w:p>
      <w:pPr>
        <w:pStyle w:val="Normal"/>
        <w:rPr/>
      </w:pPr>
      <w:r>
        <w:rPr/>
        <w:t>Staff concludes the report by finding that the problems in the region may require a more strategic approach than having the three separate ISOs taking similar but separate approaches to address their own internal issues.</w:t>
      </w:r>
    </w:p>
    <w:p>
      <w:pPr>
        <w:pStyle w:val="Normal"/>
        <w:rPr/>
      </w:pPr>
      <w:r>
        <w:rPr/>
      </w:r>
    </w:p>
    <w:p>
      <w:pPr>
        <w:pStyle w:val="Heading1"/>
        <w:ind w:hanging="0" w:start="0"/>
        <w:rPr/>
      </w:pPr>
      <w:r>
        <w:rPr/>
        <w:t>Prices and Costs</w:t>
      </w:r>
    </w:p>
    <w:p>
      <w:pPr>
        <w:pStyle w:val="Normal"/>
        <w:rPr/>
      </w:pPr>
      <w:r>
        <w:rPr/>
      </w:r>
    </w:p>
    <w:p>
      <w:pPr>
        <w:pStyle w:val="Normal"/>
        <w:rPr/>
      </w:pPr>
      <w:r>
        <w:rPr/>
        <w:t>Throughout its report, Staff continually notes that summer 2000 was a mild summer in the northeast, but if it had been a hot summer more problems would have been experienced.  Only two real price events occurred:  the price spikes on May 8-9 in New England and the gradual increase in wholesales prices in New York City and Long Island which had an effect on rising retail rates.</w:t>
      </w:r>
    </w:p>
    <w:p>
      <w:pPr>
        <w:pStyle w:val="Normal"/>
        <w:rPr/>
      </w:pPr>
      <w:r>
        <w:rPr/>
      </w:r>
    </w:p>
    <w:p>
      <w:pPr>
        <w:pStyle w:val="Heading2"/>
        <w:ind w:hanging="0" w:start="0"/>
        <w:rPr/>
      </w:pPr>
      <w:r>
        <w:rPr/>
        <w:t xml:space="preserve">Significant Wholesale Price Events </w:t>
      </w:r>
    </w:p>
    <w:p>
      <w:pPr>
        <w:pStyle w:val="Normal"/>
        <w:rPr/>
      </w:pPr>
      <w:r>
        <w:rPr/>
      </w:r>
    </w:p>
    <w:p>
      <w:pPr>
        <w:pStyle w:val="Normal"/>
        <w:rPr/>
      </w:pPr>
      <w:r>
        <w:rPr/>
        <w:t>Price corrections by the ISOs in New York and New England are a continuing concern; from May through August, price corrections occurred on 57 percent of the days in New York and 37 percent of the days in New England.</w:t>
      </w:r>
    </w:p>
    <w:p>
      <w:pPr>
        <w:pStyle w:val="Normal"/>
        <w:rPr/>
      </w:pPr>
      <w:r>
        <w:rPr/>
      </w:r>
    </w:p>
    <w:p>
      <w:pPr>
        <w:pStyle w:val="Normal"/>
        <w:rPr/>
      </w:pPr>
      <w:r>
        <w:rPr/>
        <w:t>New England uplift costs for congestion and replacement reserves shows the inefficiencies in the market design.</w:t>
      </w:r>
    </w:p>
    <w:p>
      <w:pPr>
        <w:pStyle w:val="Normal"/>
        <w:rPr/>
      </w:pPr>
      <w:r>
        <w:rPr/>
      </w:r>
    </w:p>
    <w:p>
      <w:pPr>
        <w:pStyle w:val="Normal"/>
        <w:rPr/>
      </w:pPr>
      <w:r>
        <w:rPr/>
        <w:t>The share of overall energy traded in the New York and New England day ahead and real time energy markets has grown to 45-50 percent, raising concerns about short term price volatility.</w:t>
      </w:r>
    </w:p>
    <w:p>
      <w:pPr>
        <w:pStyle w:val="Normal"/>
        <w:rPr/>
      </w:pPr>
      <w:r>
        <w:rPr/>
      </w:r>
    </w:p>
    <w:p>
      <w:pPr>
        <w:pStyle w:val="Heading1"/>
        <w:ind w:hanging="0" w:start="0"/>
        <w:rPr/>
      </w:pPr>
      <w:r>
        <w:rPr/>
        <w:t>Regulatory and Institutional Environment</w:t>
      </w:r>
    </w:p>
    <w:p>
      <w:pPr>
        <w:pStyle w:val="Normal"/>
        <w:rPr/>
      </w:pPr>
      <w:r>
        <w:rPr/>
      </w:r>
    </w:p>
    <w:p>
      <w:pPr>
        <w:pStyle w:val="Normal"/>
        <w:rPr/>
      </w:pPr>
      <w:r>
        <w:rPr/>
        <w:t>PJM and New York governing structures have been fairly successful in resolving problems; NEPOOL, however, interferes with the ability to build consensus in New England.  While FERC has avoided setting a one size fits all approach for the ISOs, Staff says it may be appropriate, and perhaps necessary, to apply lessons learned from one ISO on a broader, region-wide basis.</w:t>
      </w:r>
    </w:p>
    <w:p>
      <w:pPr>
        <w:pStyle w:val="Normal"/>
        <w:rPr/>
      </w:pPr>
      <w:r>
        <w:rPr/>
      </w:r>
    </w:p>
    <w:p>
      <w:pPr>
        <w:pStyle w:val="Heading2"/>
        <w:ind w:hanging="0" w:start="0"/>
        <w:rPr>
          <w:b/>
          <w:bCs/>
        </w:rPr>
      </w:pPr>
      <w:r>
        <w:rPr>
          <w:b/>
          <w:bCs/>
        </w:rPr>
        <w:t>Prices, Market Design and System Operations</w:t>
      </w:r>
    </w:p>
    <w:p>
      <w:pPr>
        <w:pStyle w:val="Normal"/>
        <w:rPr>
          <w:b/>
          <w:bCs/>
        </w:rPr>
      </w:pPr>
      <w:r>
        <w:rPr>
          <w:b/>
          <w:bCs/>
        </w:rPr>
      </w:r>
    </w:p>
    <w:p>
      <w:pPr>
        <w:pStyle w:val="Heading4"/>
        <w:rPr/>
      </w:pPr>
      <w:r>
        <w:rPr/>
        <w:t xml:space="preserve">PJM </w:t>
      </w:r>
    </w:p>
    <w:p>
      <w:pPr>
        <w:pStyle w:val="Normal"/>
        <w:rPr/>
      </w:pPr>
      <w:r>
        <w:rPr/>
      </w:r>
    </w:p>
    <w:p>
      <w:pPr>
        <w:pStyle w:val="Normal"/>
        <w:rPr/>
      </w:pPr>
      <w:r>
        <w:rPr/>
        <w:t>Staff finds that the PJM markets have functioned better and with fewer problems than the other two regions, for several reasons:  1) PJM was in operation for 24 months before they went to market based pricing; 2) PJM was the first to use LMP so it provided valuable experience to others; 3) PJM has phased-in market based pricing for ancillary services more slowly than NY and NE.</w:t>
      </w:r>
    </w:p>
    <w:p>
      <w:pPr>
        <w:pStyle w:val="Normal"/>
        <w:rPr/>
      </w:pPr>
      <w:r>
        <w:rPr/>
      </w:r>
    </w:p>
    <w:p>
      <w:pPr>
        <w:pStyle w:val="Normal"/>
        <w:rPr/>
      </w:pPr>
      <w:r>
        <w:rPr/>
        <w:t>Price caps:  Staff notes that the PJM price cap is not subject to a termination date but the cap should be evaluated in conjunction with the NY and NE bid caps, and to the extent similar market conditions exist in each region the price caps should be uniform.</w:t>
      </w:r>
    </w:p>
    <w:p>
      <w:pPr>
        <w:pStyle w:val="Normal"/>
        <w:rPr/>
      </w:pPr>
      <w:r>
        <w:rPr/>
      </w:r>
    </w:p>
    <w:p>
      <w:pPr>
        <w:pStyle w:val="Normal"/>
        <w:rPr/>
      </w:pPr>
      <w:r>
        <w:rPr/>
        <w:t>Staff likes LMP in PJM and finds that the creation of a trading hub, implementation of financial settlement of congestion charges in the day ahead market, and the ability for bilateral transactions to put a ceiling on the price they will pay for congestion have improved (if not solved) all of the problems of the bilateral market with LMP.  Staff also notes that PJM intends to implement a new way to allocate FTRs.</w:t>
      </w:r>
    </w:p>
    <w:p>
      <w:pPr>
        <w:pStyle w:val="Normal"/>
        <w:rPr/>
      </w:pPr>
      <w:r>
        <w:rPr/>
      </w:r>
    </w:p>
    <w:p>
      <w:pPr>
        <w:pStyle w:val="Heading4"/>
        <w:rPr/>
      </w:pPr>
      <w:r>
        <w:rPr/>
        <w:t xml:space="preserve">New York </w:t>
      </w:r>
    </w:p>
    <w:p>
      <w:pPr>
        <w:pStyle w:val="Normal"/>
        <w:rPr/>
      </w:pPr>
      <w:r>
        <w:rPr/>
      </w:r>
    </w:p>
    <w:p>
      <w:pPr>
        <w:pStyle w:val="Normal"/>
        <w:rPr/>
      </w:pPr>
      <w:r>
        <w:rPr/>
        <w:t>Staff notes that New York’s basic market design went beyond PJM’s by introducing a bid-based operating reserves market – Staff believes this is one reason why the New York market is failing.</w:t>
      </w:r>
    </w:p>
    <w:p>
      <w:pPr>
        <w:pStyle w:val="Normal"/>
        <w:rPr/>
      </w:pPr>
      <w:r>
        <w:rPr/>
      </w:r>
    </w:p>
    <w:p>
      <w:pPr>
        <w:pStyle w:val="Normal"/>
        <w:rPr/>
      </w:pPr>
      <w:r>
        <w:rPr/>
        <w:t xml:space="preserve">Staff finds that market inefficiencies threaten the competitiveness of the ISO’s markets and that </w:t>
      </w:r>
      <w:r>
        <w:rPr>
          <w:b/>
          <w:bCs/>
        </w:rPr>
        <w:t xml:space="preserve">the ISO, at a minimum, needs to:  implement better demand-side response mechanism and, at a minimum improve its BME software </w:t>
      </w:r>
      <w:r>
        <w:rPr/>
        <w:t>(see page 72 of report for discussion of problems with BME) as well as develop new market rules to give market participants better and more flexible access to the NYISO’s transmission grid.</w:t>
      </w:r>
    </w:p>
    <w:p>
      <w:pPr>
        <w:pStyle w:val="Normal"/>
        <w:rPr/>
      </w:pPr>
      <w:r>
        <w:rPr/>
        <w:tab/>
      </w:r>
    </w:p>
    <w:p>
      <w:pPr>
        <w:pStyle w:val="BodyTextIndent2"/>
        <w:ind w:end="720"/>
        <w:rPr>
          <w:b/>
          <w:bCs/>
          <w:u w:val="none"/>
        </w:rPr>
      </w:pPr>
      <w:r>
        <w:rPr>
          <w:b/>
          <w:bCs/>
          <w:u w:val="none"/>
        </w:rPr>
        <w:t>Staff says more significant changes to the software than have been proposed need to be considered and that it would be more efficient to standardize the software among the Northeast ISOs (i.e., adopting PJM software).</w:t>
      </w:r>
    </w:p>
    <w:p>
      <w:pPr>
        <w:pStyle w:val="Normal"/>
        <w:ind w:start="720" w:end="0"/>
        <w:rPr>
          <w:b/>
          <w:bCs/>
          <w:u w:val="none"/>
        </w:rPr>
      </w:pPr>
      <w:r>
        <w:rPr>
          <w:b/>
          <w:bCs/>
          <w:u w:val="none"/>
        </w:rPr>
      </w:r>
    </w:p>
    <w:p>
      <w:pPr>
        <w:pStyle w:val="Normal"/>
        <w:rPr/>
      </w:pPr>
      <w:r>
        <w:rPr/>
        <w:t>Staff notes the “patchwork” fixes of the BME system as representative of the problems New York faces and is indicative of how New York’s problems are slowing the further development in the rest of the region.</w:t>
      </w:r>
    </w:p>
    <w:p>
      <w:pPr>
        <w:pStyle w:val="Normal"/>
        <w:rPr/>
      </w:pPr>
      <w:r>
        <w:rPr/>
      </w:r>
    </w:p>
    <w:p>
      <w:pPr>
        <w:pStyle w:val="Normal"/>
        <w:rPr/>
      </w:pPr>
      <w:r>
        <w:rPr/>
        <w:t xml:space="preserve">Staff again questions whether, due to the extent of New York’s problems, it would not be more efficient to have market protocols and software packages apply to the whole Northeast region, </w:t>
      </w:r>
      <w:r>
        <w:rPr>
          <w:b/>
          <w:bCs/>
        </w:rPr>
        <w:t>or at least whether New York should limit its markets to energy until that market is functioning efficiently, and then consider adding other markets.</w:t>
      </w:r>
    </w:p>
    <w:p>
      <w:pPr>
        <w:pStyle w:val="Normal"/>
        <w:rPr>
          <w:b/>
          <w:bCs/>
        </w:rPr>
      </w:pPr>
      <w:r>
        <w:rPr>
          <w:b/>
          <w:bCs/>
        </w:rPr>
      </w:r>
    </w:p>
    <w:p>
      <w:pPr>
        <w:pStyle w:val="Heading4"/>
        <w:rPr/>
      </w:pPr>
      <w:r>
        <w:rPr/>
        <w:t>New England</w:t>
      </w:r>
    </w:p>
    <w:p>
      <w:pPr>
        <w:pStyle w:val="Normal"/>
        <w:rPr/>
      </w:pPr>
      <w:r>
        <w:rPr/>
      </w:r>
    </w:p>
    <w:p>
      <w:pPr>
        <w:pStyle w:val="Normal"/>
        <w:rPr/>
      </w:pPr>
      <w:r>
        <w:rPr/>
        <w:t>Many problems and complaints about New England since its inception – many concerns about the frequent price corrections.</w:t>
      </w:r>
    </w:p>
    <w:p>
      <w:pPr>
        <w:pStyle w:val="Normal"/>
        <w:rPr/>
      </w:pPr>
      <w:r>
        <w:rPr/>
      </w:r>
    </w:p>
    <w:p>
      <w:pPr>
        <w:pStyle w:val="Normal"/>
        <w:rPr/>
      </w:pPr>
      <w:r>
        <w:rPr/>
        <w:t>Staff notes that FERC has ordered a complete market redesign to bring New England closer in line with PJM and New York, but until this redesign is completed, the current problems will continue, resulting in increasing transmission and energy-related uplift costs.</w:t>
      </w:r>
    </w:p>
    <w:p>
      <w:pPr>
        <w:pStyle w:val="Normal"/>
        <w:rPr/>
      </w:pPr>
      <w:r>
        <w:rPr/>
      </w:r>
    </w:p>
    <w:p>
      <w:pPr>
        <w:pStyle w:val="Normal"/>
        <w:rPr/>
      </w:pPr>
      <w:r>
        <w:rPr/>
        <w:t>The price spikes of May 8, 2000 show that NE ISO’s reserve requirement can render the energy market uncompetitive; without changes, the energy market will continue to be vulnerable during capacity deficiencies.</w:t>
      </w:r>
    </w:p>
    <w:p>
      <w:pPr>
        <w:pStyle w:val="Normal"/>
        <w:rPr/>
      </w:pPr>
      <w:r>
        <w:rPr/>
      </w:r>
    </w:p>
    <w:p>
      <w:pPr>
        <w:pStyle w:val="Normal"/>
        <w:rPr/>
      </w:pPr>
      <w:r>
        <w:rPr/>
        <w:t>Part of the problems is due to the single settlement system, which is being replaced.  Another problem is the ancillary services markets and the method used there for clearing the markets.  As in California, Staff believes that clearing each ancillary service market in sequence without recognizing substitution possibilities among the services encourages strategic bidding behavior.</w:t>
      </w:r>
    </w:p>
    <w:p>
      <w:pPr>
        <w:pStyle w:val="Normal"/>
        <w:rPr/>
      </w:pPr>
      <w:r>
        <w:rPr/>
      </w:r>
    </w:p>
    <w:p>
      <w:pPr>
        <w:pStyle w:val="Normal"/>
        <w:rPr/>
      </w:pPr>
      <w:r>
        <w:rPr/>
        <w:t xml:space="preserve">Staff notes that the two capability markets were the most poorly designed and both have been terminated.  However, Staff notes that both New York and PJM have installed capacity markets and questions whether New England will need some type of installed capacity market or at least provide the service of this market for northeast coordination.  </w:t>
      </w:r>
      <w:r>
        <w:rPr>
          <w:b/>
          <w:bCs/>
        </w:rPr>
        <w:t>(See pages 81 – 83 for a discussion of the installed capacity market.)</w:t>
      </w:r>
    </w:p>
    <w:p>
      <w:pPr>
        <w:pStyle w:val="Normal"/>
        <w:rPr>
          <w:b/>
          <w:bCs/>
        </w:rPr>
      </w:pPr>
      <w:r>
        <w:rPr>
          <w:b/>
          <w:bCs/>
        </w:rPr>
      </w:r>
    </w:p>
    <w:p>
      <w:pPr>
        <w:pStyle w:val="Normal"/>
        <w:rPr/>
      </w:pPr>
      <w:r>
        <w:rPr/>
        <w:t xml:space="preserve">Staff notes that it is hard to determine how the New England markets will perform for the next 1 ½ - 2 years (before some of the market redesign changes occur), but </w:t>
      </w:r>
      <w:r>
        <w:rPr>
          <w:b/>
          <w:bCs/>
        </w:rPr>
        <w:t>Staff states that close oversight by the Commission is warranted</w:t>
      </w:r>
      <w:r>
        <w:rPr/>
        <w:t xml:space="preserve">, and that, unless sufficient market power mitigation capabilities and demand-side response is developed, </w:t>
      </w:r>
      <w:r>
        <w:rPr>
          <w:b/>
          <w:bCs/>
        </w:rPr>
        <w:t>measures to limit high prices may be required at least through the summer of 2001.</w:t>
      </w:r>
    </w:p>
    <w:p>
      <w:pPr>
        <w:pStyle w:val="Normal"/>
        <w:rPr/>
      </w:pPr>
      <w:r>
        <w:rPr/>
      </w:r>
    </w:p>
    <w:p>
      <w:pPr>
        <w:pStyle w:val="Heading1"/>
        <w:ind w:hanging="0" w:start="0"/>
        <w:rPr/>
      </w:pPr>
      <w:r>
        <w:rPr/>
        <w:t>Northeastern Regional Coordination</w:t>
      </w:r>
    </w:p>
    <w:p>
      <w:pPr>
        <w:pStyle w:val="Normal"/>
        <w:rPr/>
      </w:pPr>
      <w:r>
        <w:rPr/>
      </w:r>
    </w:p>
    <w:p>
      <w:pPr>
        <w:pStyle w:val="Normal"/>
        <w:rPr/>
      </w:pPr>
      <w:r>
        <w:rPr/>
        <w:t>Staff states that because the three regions are so similar, efficiencies could be gained by greater coordination among the ISOs, including centralized, region-wide system dispatch, common reliability criteria, and standardized products and rules.</w:t>
      </w:r>
    </w:p>
    <w:p>
      <w:pPr>
        <w:pStyle w:val="Normal"/>
        <w:rPr/>
      </w:pPr>
      <w:r>
        <w:rPr/>
      </w:r>
    </w:p>
    <w:p>
      <w:pPr>
        <w:pStyle w:val="Normal"/>
        <w:rPr/>
      </w:pPr>
      <w:r>
        <w:rPr/>
        <w:t>The following statement were made by Staff regarding coordination:</w:t>
      </w:r>
    </w:p>
    <w:p>
      <w:pPr>
        <w:pStyle w:val="Normal"/>
        <w:rPr/>
      </w:pPr>
      <w:r>
        <w:rPr/>
      </w:r>
    </w:p>
    <w:p>
      <w:pPr>
        <w:pStyle w:val="BodyText"/>
        <w:numPr>
          <w:ilvl w:val="0"/>
          <w:numId w:val="3"/>
        </w:numPr>
        <w:rPr>
          <w:u w:val="none"/>
        </w:rPr>
      </w:pPr>
      <w:r>
        <w:rPr>
          <w:u w:val="none"/>
        </w:rPr>
        <w:t>“</w:t>
      </w:r>
      <w:r>
        <w:rPr>
          <w:u w:val="none"/>
        </w:rPr>
        <w:t>It may be appropriate to take a more strategic approach to the Northeast region, so that efficiencies that could be achieved from coordination and standardization across ISOs are not lost, or too long delayed, in the process of remedying the separate problems of each ISO.”</w:t>
      </w:r>
    </w:p>
    <w:p>
      <w:pPr>
        <w:pStyle w:val="BodyText"/>
        <w:numPr>
          <w:ilvl w:val="0"/>
          <w:numId w:val="3"/>
        </w:numPr>
        <w:rPr>
          <w:u w:val="none"/>
        </w:rPr>
      </w:pPr>
      <w:r>
        <w:rPr>
          <w:u w:val="none"/>
        </w:rPr>
        <w:t>“</w:t>
      </w:r>
      <w:r>
        <w:rPr>
          <w:u w:val="none"/>
        </w:rPr>
        <w:t>The lack of ‘universal’ products in the Northeast as well as the lack of harmonized or standardized procedures for buying and selling power across the region is a loss to the efficient functioning of the market.”</w:t>
      </w:r>
    </w:p>
    <w:p>
      <w:pPr>
        <w:pStyle w:val="BodyText"/>
        <w:numPr>
          <w:ilvl w:val="0"/>
          <w:numId w:val="3"/>
        </w:numPr>
        <w:rPr>
          <w:u w:val="none"/>
        </w:rPr>
      </w:pPr>
      <w:r>
        <w:rPr>
          <w:u w:val="none"/>
        </w:rPr>
        <w:t>“</w:t>
      </w:r>
      <w:r>
        <w:rPr>
          <w:u w:val="none"/>
        </w:rPr>
        <w:t>Simply operating under one tariff, with one-stop shopping would create greater efficiency.”</w:t>
      </w:r>
    </w:p>
    <w:p>
      <w:pPr>
        <w:pStyle w:val="BodyText"/>
        <w:numPr>
          <w:ilvl w:val="0"/>
          <w:numId w:val="3"/>
        </w:numPr>
        <w:rPr>
          <w:u w:val="none"/>
        </w:rPr>
      </w:pPr>
      <w:r>
        <w:rPr>
          <w:u w:val="none"/>
        </w:rPr>
        <w:t>“</w:t>
      </w:r>
      <w:r>
        <w:rPr>
          <w:u w:val="none"/>
        </w:rPr>
        <w:t>It might be more effective to devote the resources of all market segments and regulators to the potential for northeastern regional solutions to issues such as transmission planning or congestion management than to perfect separate ISO-administered markets.”</w:t>
      </w:r>
    </w:p>
    <w:p>
      <w:pPr>
        <w:pStyle w:val="BodyText"/>
        <w:numPr>
          <w:ilvl w:val="0"/>
          <w:numId w:val="3"/>
        </w:numPr>
        <w:rPr>
          <w:u w:val="none"/>
        </w:rPr>
      </w:pPr>
      <w:r>
        <w:rPr>
          <w:u w:val="none"/>
        </w:rPr>
        <w:t>“</w:t>
      </w:r>
      <w:r>
        <w:rPr>
          <w:u w:val="none"/>
        </w:rPr>
        <w:t>The Commission may want to take a more active role in the coordination and standardization process begun with the MOU.”</w:t>
      </w:r>
    </w:p>
    <w:p>
      <w:pPr>
        <w:pStyle w:val="BodyText"/>
        <w:rPr>
          <w:u w:val="none"/>
        </w:rPr>
      </w:pPr>
      <w:r>
        <w:rPr>
          <w:u w:val="none"/>
        </w:rPr>
      </w:r>
    </w:p>
    <w:p>
      <w:pPr>
        <w:pStyle w:val="Heading1"/>
        <w:ind w:hanging="0" w:start="0"/>
        <w:rPr/>
      </w:pPr>
      <w:r>
        <w:rPr/>
        <w:t>Policy Options</w:t>
      </w:r>
    </w:p>
    <w:p>
      <w:pPr>
        <w:pStyle w:val="Heading2"/>
        <w:ind w:hanging="0" w:start="0"/>
        <w:rPr/>
      </w:pPr>
      <w:r>
        <w:rPr/>
      </w:r>
    </w:p>
    <w:p>
      <w:pPr>
        <w:pStyle w:val="Heading2"/>
        <w:ind w:hanging="0" w:start="0"/>
        <w:rPr/>
      </w:pPr>
      <w:r>
        <w:rPr/>
        <w:t>Ways to Prevent Market Power in the Near-Term</w:t>
      </w:r>
    </w:p>
    <w:p>
      <w:pPr>
        <w:pStyle w:val="Normal"/>
        <w:rPr/>
      </w:pPr>
      <w:r>
        <w:rPr/>
      </w:r>
    </w:p>
    <w:p>
      <w:pPr>
        <w:pStyle w:val="Normal"/>
        <w:rPr/>
      </w:pPr>
      <w:r>
        <w:rPr/>
        <w:t>Staff lists various options available to FERC to correct the problems creating the current market uncertainty:</w:t>
      </w:r>
    </w:p>
    <w:p>
      <w:pPr>
        <w:pStyle w:val="Normal"/>
        <w:rPr/>
      </w:pPr>
      <w:r>
        <w:rPr/>
      </w:r>
    </w:p>
    <w:p>
      <w:pPr>
        <w:pStyle w:val="Normal"/>
        <w:numPr>
          <w:ilvl w:val="0"/>
          <w:numId w:val="2"/>
        </w:numPr>
        <w:rPr/>
      </w:pPr>
      <w:r>
        <w:rPr/>
        <w:t>Allow price caps to continue but with clear criteria for termination (e.g., entry of sufficient additional generation or increased demand response); or</w:t>
      </w:r>
    </w:p>
    <w:p>
      <w:pPr>
        <w:pStyle w:val="Normal"/>
        <w:numPr>
          <w:ilvl w:val="0"/>
          <w:numId w:val="2"/>
        </w:numPr>
        <w:rPr/>
      </w:pPr>
      <w:r>
        <w:rPr/>
        <w:t xml:space="preserve">institute consistent price caps; or </w:t>
      </w:r>
    </w:p>
    <w:p>
      <w:pPr>
        <w:pStyle w:val="Normal"/>
        <w:numPr>
          <w:ilvl w:val="0"/>
          <w:numId w:val="2"/>
        </w:numPr>
        <w:rPr/>
      </w:pPr>
      <w:r>
        <w:rPr/>
        <w:t>remove the price caps (but Staff notes this may require the ISO to intervene in the markets in other ways); or</w:t>
      </w:r>
    </w:p>
    <w:p>
      <w:pPr>
        <w:pStyle w:val="Normal"/>
        <w:numPr>
          <w:ilvl w:val="0"/>
          <w:numId w:val="2"/>
        </w:numPr>
        <w:rPr/>
      </w:pPr>
      <w:r>
        <w:rPr/>
        <w:t>establish new reporting requirements and refund options for high bids (similar to the California proposal); or</w:t>
      </w:r>
    </w:p>
    <w:p>
      <w:pPr>
        <w:pStyle w:val="Normal"/>
        <w:numPr>
          <w:ilvl w:val="0"/>
          <w:numId w:val="2"/>
        </w:numPr>
        <w:rPr/>
      </w:pPr>
      <w:r>
        <w:rPr/>
        <w:t>return to cost of service regulation for generators with locational market power; or</w:t>
      </w:r>
    </w:p>
    <w:p>
      <w:pPr>
        <w:pStyle w:val="Normal"/>
        <w:numPr>
          <w:ilvl w:val="0"/>
          <w:numId w:val="2"/>
        </w:numPr>
        <w:rPr/>
      </w:pPr>
      <w:r>
        <w:rPr/>
        <w:t>more aggressive market power monitoring and mitigation (e.g., use a structural screen to automatically mitigate certain units of market shares that exceed a target percentage during particular hours) and monitor the ISO as well as the markets; or</w:t>
      </w:r>
    </w:p>
    <w:p>
      <w:pPr>
        <w:pStyle w:val="Normal"/>
        <w:numPr>
          <w:ilvl w:val="0"/>
          <w:numId w:val="2"/>
        </w:numPr>
        <w:rPr/>
      </w:pPr>
      <w:r>
        <w:rPr/>
        <w:t>demand-side responsiveness</w:t>
      </w:r>
    </w:p>
    <w:p>
      <w:pPr>
        <w:pStyle w:val="Normal"/>
        <w:rPr/>
      </w:pPr>
      <w:r>
        <w:rPr/>
      </w:r>
    </w:p>
    <w:p>
      <w:pPr>
        <w:pStyle w:val="Heading2"/>
        <w:ind w:hanging="0" w:start="0"/>
        <w:rPr/>
      </w:pPr>
      <w:r>
        <w:rPr/>
        <w:t>Address Barriers to Increased Intra-Regional Trade</w:t>
      </w:r>
    </w:p>
    <w:p>
      <w:pPr>
        <w:pStyle w:val="Normal"/>
        <w:rPr/>
      </w:pPr>
      <w:r>
        <w:rPr/>
      </w:r>
    </w:p>
    <w:p>
      <w:pPr>
        <w:pStyle w:val="Normal"/>
        <w:rPr/>
      </w:pPr>
      <w:r>
        <w:rPr/>
        <w:t>Staff suggests that the Commission could direct the ISOs to identify specific and significant ISO practices that should be common and coordinated by a date certain (this would replace the MOU process), and to assign FERC technical staff to work with the ISOs to identify the issues to address.</w:t>
      </w:r>
    </w:p>
    <w:p>
      <w:pPr>
        <w:pStyle w:val="Normal"/>
        <w:rPr/>
      </w:pPr>
      <w:r>
        <w:rPr/>
      </w:r>
    </w:p>
    <w:p>
      <w:pPr>
        <w:pStyle w:val="Normal"/>
        <w:rPr/>
      </w:pPr>
      <w:r>
        <w:rPr>
          <w:i/>
          <w:iCs/>
        </w:rPr>
        <w:t xml:space="preserve">Other Short-term Options:  </w:t>
      </w:r>
      <w:r>
        <w:rPr/>
        <w:t>have NEPOOL act as an advisory body only; eliminate the single price auction and institute “pay as bid;” timing and release of bid data.</w:t>
      </w:r>
    </w:p>
    <w:p>
      <w:pPr>
        <w:pStyle w:val="Normal"/>
        <w:rPr/>
      </w:pPr>
      <w:r>
        <w:rPr/>
      </w:r>
    </w:p>
    <w:p>
      <w:pPr>
        <w:pStyle w:val="Normal"/>
        <w:rPr/>
      </w:pPr>
      <w:r>
        <w:rPr>
          <w:i/>
          <w:iCs/>
        </w:rPr>
        <w:t xml:space="preserve">Other Longer-term Options:  </w:t>
      </w:r>
      <w:r>
        <w:rPr/>
        <w:t>require a single northeastern RTO; or, allow the three ISOs as separate RTOs but mandate specific solutions to the seams issues.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720"/>
      </w:pPr>
      <w:rPr>
        <w:rFonts w:ascii="Times New Roman" w:hAnsi="Times New Roman" w:cs="Times New Roman" w:hint="default"/>
      </w:rPr>
    </w:lvl>
  </w:abstractNum>
  <w:abstractNum w:abstractNumId="3">
    <w:lvl w:ilvl="0">
      <w:numFmt w:val="bullet"/>
      <w:lvlText w:val="-"/>
      <w:lvlJc w:val="start"/>
      <w:pPr>
        <w:tabs>
          <w:tab w:val="num" w:pos="1080"/>
        </w:tabs>
        <w:ind w:start="1080" w:hanging="72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2"/>
        <w:numId w:val="1"/>
      </w:numPr>
      <w:ind w:firstLine="720" w:start="0" w:end="0"/>
      <w:outlineLvl w:val="2"/>
    </w:pPr>
    <w:rPr>
      <w:b/>
      <w:bCs/>
    </w:rPr>
  </w:style>
  <w:style w:type="paragraph" w:styleId="Heading4">
    <w:name w:val="heading 4"/>
    <w:basedOn w:val="Normal"/>
    <w:next w:val="Normal"/>
    <w:qFormat/>
    <w:pPr>
      <w:keepNext w:val="true"/>
      <w:numPr>
        <w:ilvl w:val="3"/>
        <w:numId w:val="1"/>
      </w:numPr>
      <w:ind w:firstLine="720" w:start="0" w:end="0"/>
      <w:outlineLvl w:val="3"/>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720" w:end="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2000-11-10T12:47:00Z</dcterms:created>
  <dc:creator>snovose</dc:creator>
  <dc:description/>
  <dc:language>en-CA</dc:language>
  <cp:lastModifiedBy>snovose</cp:lastModifiedBy>
  <cp:lastPrinted>2000-11-13T11:29:00Z</cp:lastPrinted>
  <dcterms:modified xsi:type="dcterms:W3CDTF">2000-11-13T14:00:00Z</dcterms:modified>
  <cp:revision>2</cp:revision>
  <dc:subject/>
  <dc:title>FERC Staff Report on Investigation</dc:title>
</cp:coreProperties>
</file>