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BEFORE THE </w:t>
      </w:r>
    </w:p>
    <w:p>
      <w:pPr>
        <w:pStyle w:val="Heading"/>
        <w:rPr/>
      </w:pPr>
      <w:r>
        <w:rPr/>
        <w:t>FEDERAL ENERGY REGULATORY COMMISSION</w:t>
      </w:r>
    </w:p>
    <w:p>
      <w:pPr>
        <w:pStyle w:val="Heading"/>
        <w:rPr/>
      </w:pPr>
      <w:r>
        <w:rPr/>
      </w:r>
    </w:p>
    <w:p>
      <w:pPr>
        <w:pStyle w:val="Heading"/>
        <w:rPr/>
      </w:pPr>
      <w:r>
        <w:rPr/>
      </w:r>
    </w:p>
    <w:p>
      <w:pPr>
        <w:pStyle w:val="Heading"/>
        <w:jc w:val="start"/>
        <w:rPr>
          <w:b w:val="false"/>
        </w:rPr>
      </w:pPr>
      <w:r>
        <w:rPr>
          <w:b w:val="false"/>
        </w:rPr>
        <w:t>San Diego Gas &amp; Electric Company</w:t>
      </w:r>
    </w:p>
    <w:p>
      <w:pPr>
        <w:pStyle w:val="Heading"/>
        <w:jc w:val="start"/>
        <w:rPr>
          <w:b w:val="false"/>
        </w:rPr>
      </w:pPr>
      <w:r>
        <w:rPr>
          <w:b w:val="false"/>
        </w:rPr>
      </w:r>
    </w:p>
    <w:p>
      <w:pPr>
        <w:pStyle w:val="Heading"/>
        <w:jc w:val="start"/>
        <w:rPr>
          <w:b w:val="false"/>
        </w:rPr>
      </w:pPr>
      <w:r>
        <w:rPr>
          <w:b w:val="false"/>
        </w:rPr>
        <w:tab/>
        <w:tab/>
        <w:tab/>
        <w:t>Complainant,</w:t>
      </w:r>
    </w:p>
    <w:p>
      <w:pPr>
        <w:pStyle w:val="Heading"/>
        <w:jc w:val="start"/>
        <w:rPr>
          <w:b w:val="false"/>
        </w:rPr>
      </w:pPr>
      <w:r>
        <w:rPr>
          <w:b w:val="false"/>
        </w:rPr>
      </w:r>
    </w:p>
    <w:p>
      <w:pPr>
        <w:pStyle w:val="Heading"/>
        <w:numPr>
          <w:ilvl w:val="0"/>
          <w:numId w:val="2"/>
        </w:numPr>
        <w:jc w:val="start"/>
        <w:rPr>
          <w:b w:val="false"/>
        </w:rPr>
      </w:pPr>
      <w:r>
        <w:rPr>
          <w:b w:val="false"/>
        </w:rPr>
        <w:t>Docket No. EL00-95-000</w:t>
      </w:r>
    </w:p>
    <w:p>
      <w:pPr>
        <w:pStyle w:val="Heading"/>
        <w:jc w:val="start"/>
        <w:rPr>
          <w:b w:val="false"/>
        </w:rPr>
      </w:pPr>
      <w:r>
        <w:rPr>
          <w:b w:val="false"/>
        </w:rPr>
      </w:r>
    </w:p>
    <w:p>
      <w:pPr>
        <w:pStyle w:val="Heading"/>
        <w:jc w:val="start"/>
        <w:rPr>
          <w:b w:val="false"/>
        </w:rPr>
      </w:pPr>
      <w:r>
        <w:rPr>
          <w:b w:val="false"/>
        </w:rPr>
        <w:t>Sellers of Energy and Ancillary Services</w:t>
      </w:r>
    </w:p>
    <w:p>
      <w:pPr>
        <w:pStyle w:val="Heading"/>
        <w:jc w:val="start"/>
        <w:rPr>
          <w:b w:val="false"/>
        </w:rPr>
      </w:pPr>
      <w:r>
        <w:rPr>
          <w:b w:val="false"/>
        </w:rPr>
        <w:tab/>
        <w:t>Into Markets Operated by the California</w:t>
      </w:r>
    </w:p>
    <w:p>
      <w:pPr>
        <w:pStyle w:val="Heading"/>
        <w:jc w:val="start"/>
        <w:rPr>
          <w:b w:val="false"/>
        </w:rPr>
      </w:pPr>
      <w:r>
        <w:rPr>
          <w:b w:val="false"/>
        </w:rPr>
        <w:tab/>
        <w:t>Independent System Operator and the</w:t>
      </w:r>
    </w:p>
    <w:p>
      <w:pPr>
        <w:pStyle w:val="Heading"/>
        <w:jc w:val="start"/>
        <w:rPr>
          <w:b w:val="false"/>
        </w:rPr>
      </w:pPr>
      <w:r>
        <w:rPr>
          <w:b w:val="false"/>
        </w:rPr>
        <w:tab/>
        <w:t>California Power Exchange</w:t>
      </w:r>
    </w:p>
    <w:p>
      <w:pPr>
        <w:pStyle w:val="Heading"/>
        <w:jc w:val="start"/>
        <w:rPr>
          <w:b w:val="false"/>
        </w:rPr>
      </w:pPr>
      <w:r>
        <w:rPr>
          <w:b w:val="false"/>
        </w:rPr>
      </w:r>
    </w:p>
    <w:p>
      <w:pPr>
        <w:pStyle w:val="Heading"/>
        <w:jc w:val="start"/>
        <w:rPr>
          <w:b w:val="false"/>
        </w:rPr>
      </w:pPr>
      <w:r>
        <w:rPr>
          <w:b w:val="false"/>
        </w:rPr>
        <w:tab/>
        <w:tab/>
        <w:tab/>
        <w:t>Respondents.</w:t>
      </w:r>
    </w:p>
    <w:p>
      <w:pPr>
        <w:pStyle w:val="Heading"/>
        <w:jc w:val="start"/>
        <w:rPr>
          <w:b w:val="false"/>
        </w:rPr>
      </w:pPr>
      <w:r>
        <w:rPr>
          <w:b w:val="false"/>
        </w:rPr>
      </w:r>
    </w:p>
    <w:p>
      <w:pPr>
        <w:pStyle w:val="Heading"/>
        <w:jc w:val="start"/>
        <w:rPr>
          <w:b w:val="false"/>
        </w:rPr>
      </w:pPr>
      <w:r>
        <w:rPr>
          <w:b w:val="false"/>
        </w:rPr>
        <w:t>Investigation of Practices of the California</w:t>
      </w:r>
    </w:p>
    <w:p>
      <w:pPr>
        <w:pStyle w:val="Heading"/>
        <w:jc w:val="start"/>
        <w:rPr>
          <w:b w:val="false"/>
        </w:rPr>
      </w:pPr>
      <w:r>
        <w:rPr>
          <w:b w:val="false"/>
        </w:rPr>
        <w:tab/>
        <w:t>Independent System Operator and the</w:t>
      </w:r>
    </w:p>
    <w:p>
      <w:pPr>
        <w:pStyle w:val="Heading"/>
        <w:jc w:val="start"/>
        <w:rPr>
          <w:b w:val="false"/>
        </w:rPr>
      </w:pPr>
      <w:r>
        <w:rPr>
          <w:b w:val="false"/>
        </w:rPr>
        <w:tab/>
        <w:t>California Power Exchange</w:t>
        <w:tab/>
        <w:tab/>
        <w:tab/>
        <w:tab/>
        <w:t>Docket No. EL00-98-000</w:t>
      </w:r>
    </w:p>
    <w:p>
      <w:pPr>
        <w:pStyle w:val="Heading"/>
        <w:jc w:val="start"/>
        <w:rPr>
          <w:b w:val="false"/>
        </w:rPr>
      </w:pPr>
      <w:r>
        <w:rPr>
          <w:b w:val="false"/>
        </w:rPr>
      </w:r>
    </w:p>
    <w:p>
      <w:pPr>
        <w:pStyle w:val="Heading"/>
        <w:jc w:val="start"/>
        <w:rPr>
          <w:b w:val="false"/>
        </w:rPr>
      </w:pPr>
      <w:r>
        <w:rPr>
          <w:b w:val="false"/>
        </w:rPr>
        <w:t>Public Meeting in San Diego, California</w:t>
        <w:tab/>
        <w:tab/>
        <w:tab/>
        <w:t>Docket No. EL00-107-000</w:t>
      </w:r>
    </w:p>
    <w:p>
      <w:pPr>
        <w:pStyle w:val="Heading"/>
        <w:jc w:val="start"/>
        <w:rPr>
          <w:b w:val="false"/>
        </w:rPr>
      </w:pPr>
      <w:r>
        <w:rPr>
          <w:b w:val="false"/>
        </w:rPr>
      </w:r>
    </w:p>
    <w:p>
      <w:pPr>
        <w:pStyle w:val="Heading"/>
        <w:jc w:val="start"/>
        <w:rPr>
          <w:b w:val="false"/>
        </w:rPr>
      </w:pPr>
      <w:r>
        <w:rPr>
          <w:b w:val="false"/>
        </w:rPr>
        <w:t>California Power Exchange Corporation</w:t>
        <w:tab/>
        <w:tab/>
        <w:tab/>
        <w:t>Docket No. ER00-3461-000</w:t>
      </w:r>
    </w:p>
    <w:p>
      <w:pPr>
        <w:pStyle w:val="Heading"/>
        <w:jc w:val="start"/>
        <w:rPr>
          <w:b w:val="false"/>
        </w:rPr>
      </w:pPr>
      <w:r>
        <w:rPr>
          <w:b w:val="false"/>
        </w:rPr>
      </w:r>
    </w:p>
    <w:p>
      <w:pPr>
        <w:pStyle w:val="Heading"/>
        <w:jc w:val="start"/>
        <w:rPr>
          <w:b w:val="false"/>
        </w:rPr>
      </w:pPr>
      <w:r>
        <w:rPr>
          <w:b w:val="false"/>
        </w:rPr>
        <w:t>California Independent System Operator</w:t>
      </w:r>
    </w:p>
    <w:p>
      <w:pPr>
        <w:pStyle w:val="Heading"/>
        <w:jc w:val="start"/>
        <w:rPr>
          <w:b w:val="false"/>
        </w:rPr>
      </w:pPr>
      <w:r>
        <w:rPr>
          <w:b w:val="false"/>
        </w:rPr>
        <w:tab/>
        <w:t>Corporation</w:t>
        <w:tab/>
        <w:tab/>
        <w:tab/>
        <w:tab/>
        <w:tab/>
        <w:tab/>
        <w:t>Docket No. ER00-3673-000</w:t>
      </w:r>
    </w:p>
    <w:p>
      <w:pPr>
        <w:pStyle w:val="Heading"/>
        <w:rPr>
          <w:b w:val="false"/>
        </w:rPr>
      </w:pPr>
      <w:r>
        <w:rPr>
          <w:b w:val="false"/>
        </w:rPr>
      </w:r>
    </w:p>
    <w:p>
      <w:pPr>
        <w:pStyle w:val="Heading"/>
        <w:rPr>
          <w:sz w:val="48"/>
        </w:rPr>
      </w:pPr>
      <w:r>
        <w:rPr>
          <w:sz w:val="48"/>
        </w:rPr>
        <w:t>FINISHING WHAT</w:t>
      </w:r>
    </w:p>
    <w:p>
      <w:pPr>
        <w:pStyle w:val="Heading"/>
        <w:rPr>
          <w:sz w:val="48"/>
        </w:rPr>
      </w:pPr>
      <w:r>
        <w:rPr>
          <w:sz w:val="48"/>
        </w:rPr>
        <w:t>WE’VE STARTED</w:t>
      </w:r>
    </w:p>
    <w:p>
      <w:pPr>
        <w:pStyle w:val="Heading"/>
        <w:rPr>
          <w:sz w:val="48"/>
        </w:rPr>
      </w:pPr>
      <w:r>
        <w:rPr>
          <w:sz w:val="48"/>
        </w:rPr>
      </w:r>
    </w:p>
    <w:p>
      <w:pPr>
        <w:pStyle w:val="Normal"/>
        <w:jc w:val="center"/>
        <w:rPr>
          <w:b/>
          <w:sz w:val="24"/>
        </w:rPr>
      </w:pPr>
      <w:r>
        <w:rPr>
          <w:b/>
          <w:sz w:val="24"/>
        </w:rPr>
        <w:t>Comments For the November 9, 2000 Meeting</w:t>
      </w:r>
    </w:p>
    <w:p>
      <w:pPr>
        <w:pStyle w:val="Normal"/>
        <w:jc w:val="center"/>
        <w:rPr>
          <w:b/>
          <w:sz w:val="24"/>
        </w:rPr>
      </w:pPr>
      <w:r>
        <w:rPr>
          <w:b/>
          <w:sz w:val="24"/>
        </w:rPr>
        <w:t xml:space="preserve">In Washington, D.C. </w:t>
      </w:r>
    </w:p>
    <w:p>
      <w:pPr>
        <w:pStyle w:val="Heading"/>
        <w:rPr>
          <w:b w:val="false"/>
          <w:sz w:val="48"/>
        </w:rPr>
      </w:pPr>
      <w:r>
        <w:rPr>
          <w:b w:val="false"/>
          <w:sz w:val="48"/>
        </w:rPr>
      </w:r>
    </w:p>
    <w:p>
      <w:pPr>
        <w:pStyle w:val="Heading"/>
        <w:rPr>
          <w:sz w:val="48"/>
        </w:rPr>
      </w:pPr>
      <w:r>
        <w:rPr>
          <w:sz w:val="48"/>
        </w:rPr>
      </w:r>
    </w:p>
    <w:p>
      <w:pPr>
        <w:pStyle w:val="Heading"/>
        <w:rPr>
          <w:sz w:val="48"/>
        </w:rPr>
      </w:pPr>
      <w:r>
        <w:rPr>
          <w:sz w:val="48"/>
        </w:rPr>
      </w:r>
    </w:p>
    <w:p>
      <w:pPr>
        <w:pStyle w:val="Heading"/>
        <w:rPr>
          <w:sz w:val="28"/>
        </w:rPr>
      </w:pPr>
      <w:r>
        <w:rPr>
          <w:sz w:val="28"/>
        </w:rPr>
        <w:t>STEVEN J. KEAN</w:t>
      </w:r>
    </w:p>
    <w:p>
      <w:pPr>
        <w:pStyle w:val="Heading"/>
        <w:rPr>
          <w:sz w:val="28"/>
        </w:rPr>
      </w:pPr>
      <w:r>
        <w:rPr>
          <w:sz w:val="28"/>
        </w:rPr>
        <w:t>EXECUTIVE VICE PRESIDENT</w:t>
      </w:r>
    </w:p>
    <w:p>
      <w:pPr>
        <w:pStyle w:val="Normal"/>
        <w:jc w:val="center"/>
        <w:rPr>
          <w:b/>
          <w:sz w:val="28"/>
        </w:rPr>
      </w:pPr>
      <w:r>
        <w:rPr>
          <w:b/>
          <w:sz w:val="28"/>
        </w:rPr>
      </w:r>
    </w:p>
    <w:p>
      <w:pPr>
        <w:pStyle w:val="Normal"/>
        <w:jc w:val="center"/>
        <w:rPr>
          <w:b/>
          <w:sz w:val="28"/>
        </w:rPr>
      </w:pPr>
      <w:r>
        <w:rPr>
          <w:b/>
          <w:sz w:val="28"/>
        </w:rPr>
        <w:t>ENRON CORP.</w:t>
      </w:r>
    </w:p>
    <w:p>
      <w:pPr>
        <w:pStyle w:val="Normal"/>
        <w:jc w:val="center"/>
        <w:rPr>
          <w:b/>
          <w:sz w:val="24"/>
        </w:rPr>
      </w:pPr>
      <w:r>
        <w:rPr>
          <w:b/>
          <w:sz w:val="24"/>
        </w:rPr>
      </w:r>
      <w:r>
        <w:br w:type="page"/>
      </w:r>
    </w:p>
    <w:p>
      <w:pPr>
        <w:pStyle w:val="FaxNormal"/>
        <w:spacing w:lineRule="auto" w:line="480" w:before="0" w:after="240"/>
        <w:rPr/>
      </w:pPr>
      <w:r>
        <w:rPr>
          <w:rFonts w:cs="Times New Roman" w:ascii="Times New Roman" w:hAnsi="Times New Roman"/>
          <w:sz w:val="24"/>
        </w:rPr>
        <w:t>The California market is only half a market in which many of the normal forces of supply and demand are absent. This market structure is not accidental, but is instead primarily the logical consequence of perhaps well-intended state legislative and regulatory policies that have prevented real wholesale competition from emerging.  Enron’s October 20 White Paper</w:t>
      </w:r>
      <w:r>
        <w:rPr>
          <w:rStyle w:val="FootnoteCharacters"/>
          <w:rStyle w:val="FootnoteReference"/>
          <w:rFonts w:cs="Times New Roman" w:ascii="Times New Roman" w:hAnsi="Times New Roman"/>
          <w:sz w:val="24"/>
        </w:rPr>
        <w:footnoteReference w:id="2"/>
      </w:r>
      <w:r>
        <w:rPr>
          <w:rFonts w:cs="Times New Roman" w:ascii="Times New Roman" w:hAnsi="Times New Roman"/>
          <w:sz w:val="24"/>
        </w:rPr>
        <w:t xml:space="preserve"> filed with the Commission identifies the major areas of improvement for completing the market and increasing competitive pressures on prices and the Commission’s order addressed several of these problem areas. </w:t>
      </w:r>
    </w:p>
    <w:p>
      <w:pPr>
        <w:pStyle w:val="FaxNormal"/>
        <w:spacing w:lineRule="auto" w:line="480" w:before="0" w:after="240"/>
        <w:rPr>
          <w:rFonts w:ascii="Times New Roman" w:hAnsi="Times New Roman" w:cs="Times New Roman"/>
          <w:sz w:val="24"/>
        </w:rPr>
      </w:pPr>
      <w:r>
        <w:rPr>
          <w:rFonts w:cs="Times New Roman" w:ascii="Times New Roman" w:hAnsi="Times New Roman"/>
          <w:sz w:val="24"/>
        </w:rPr>
        <w:t>Ultimately the solution to California’s crisis will require reforms in both wholesale and retail markets.   In these brief comments, Enron will address the  primary problems that FERC needs to further address in its orders: sending proper price signals, maximizing liquidity in supply, and promoting demand responsive resources.  There are two precursors of sending proper price signals: removing price caps and improving market transparency by providing market information to market participants.</w:t>
      </w:r>
    </w:p>
    <w:p>
      <w:pPr>
        <w:pStyle w:val="FaxNormal"/>
        <w:spacing w:lineRule="auto" w:line="480" w:before="0" w:after="240"/>
        <w:rPr>
          <w:rFonts w:ascii="Times New Roman" w:hAnsi="Times New Roman" w:cs="Times New Roman"/>
          <w:b/>
          <w:sz w:val="24"/>
        </w:rPr>
      </w:pPr>
      <w:r>
        <w:rPr>
          <w:rFonts w:cs="Times New Roman" w:ascii="Times New Roman" w:hAnsi="Times New Roman"/>
          <w:b/>
          <w:sz w:val="24"/>
        </w:rPr>
        <w:t xml:space="preserve">The Commission’s $150 “Soft” Cap Will Result in Resources Not being Bid into the California Market </w:t>
      </w:r>
    </w:p>
    <w:p>
      <w:pPr>
        <w:pStyle w:val="FaxNormal"/>
        <w:spacing w:lineRule="auto" w:line="480" w:before="0" w:after="240"/>
        <w:rPr>
          <w:rFonts w:ascii="Times New Roman" w:hAnsi="Times New Roman" w:cs="Times New Roman"/>
          <w:sz w:val="24"/>
        </w:rPr>
      </w:pPr>
      <w:r>
        <w:rPr>
          <w:rFonts w:cs="Times New Roman" w:ascii="Times New Roman" w:hAnsi="Times New Roman"/>
          <w:sz w:val="24"/>
        </w:rPr>
        <w:t>In Enron’s written comments we will show that the Commission should remove the proposed price cap because there will be no need for a cap once the Commission’s other measures are implemented.  In particular, the Commission should not arbitrarily continue a price cap until the end of 2001 because the independent board, in an unbiased manner, review the reports of the Department of Market Monitoring and, under a worst case scenario, file any necessary mitigation measures on an ongoing basis.  Further, for the reasons detailed in our white paper, price caps are a flawed mitigation measure in that they will not promote the generation badly needed in California.</w:t>
      </w:r>
    </w:p>
    <w:p>
      <w:pPr>
        <w:pStyle w:val="FaxNormal"/>
        <w:spacing w:lineRule="auto" w:line="480" w:before="0" w:after="240"/>
        <w:rPr/>
      </w:pPr>
      <w:r>
        <w:rPr>
          <w:rFonts w:cs="Times New Roman" w:ascii="Times New Roman" w:hAnsi="Times New Roman"/>
          <w:sz w:val="24"/>
        </w:rPr>
        <w:t xml:space="preserve">Nevertheless, assuming the Commission adopts a price cap, the proposed price cap is flawed in that its complicated nature and low level introduces too much market risk.   A price cap of $150 is too low to incent much needed peaker investment in California’s growing market.  FERC calculates that a cap of $150/MHh would be profitable for a combined cycle generating unit based on a 30% capacity factor. </w:t>
      </w:r>
      <w:r>
        <w:rPr>
          <w:rStyle w:val="FootnoteCharacters"/>
          <w:rStyle w:val="FootnoteReference"/>
          <w:rFonts w:cs="Times New Roman" w:ascii="Times New Roman" w:hAnsi="Times New Roman"/>
          <w:sz w:val="24"/>
        </w:rPr>
        <w:footnoteReference w:id="3"/>
      </w:r>
      <w:r>
        <w:rPr>
          <w:rFonts w:cs="Times New Roman" w:ascii="Times New Roman" w:hAnsi="Times New Roman"/>
          <w:sz w:val="24"/>
        </w:rPr>
        <w:t xml:space="preserve"> But this price cap is would not incent peaker investment because a combustion turbine designed for peaking purposes typically operates at a 5% to 10% capacity factor and therefore will most certainly not be economic at $150/MWh.    </w:t>
      </w:r>
    </w:p>
    <w:p>
      <w:pPr>
        <w:pStyle w:val="FaxNormal"/>
        <w:spacing w:lineRule="auto" w:line="480" w:before="0" w:after="240"/>
        <w:rPr>
          <w:rFonts w:ascii="Times New Roman" w:hAnsi="Times New Roman" w:cs="Times New Roman"/>
          <w:sz w:val="24"/>
        </w:rPr>
      </w:pPr>
      <w:r>
        <w:rPr>
          <w:rFonts w:cs="Times New Roman" w:ascii="Times New Roman" w:hAnsi="Times New Roman"/>
          <w:sz w:val="24"/>
        </w:rPr>
        <w:t>Further, Enron is not persuaded that the $150/MWh cap is simply a “soft” one and that generators or marketers could justify higher bids if properly documented.  Nor is it encouraged by the fact that  the Commission has limited the duration of the cap.  Rather, developers of peaking units will not want to risk the Commission second-guessing whether they have earned too much profit from their units or deciding to extend or change the caps. Further, as we will detail in our written comments, short-term marginal cost is not an appropriate standard of whether there is market power.</w:t>
      </w:r>
    </w:p>
    <w:p>
      <w:pPr>
        <w:pStyle w:val="FaxNormal"/>
        <w:spacing w:lineRule="auto" w:line="480" w:before="0" w:after="240"/>
        <w:rPr/>
      </w:pPr>
      <w:r>
        <w:rPr>
          <w:rFonts w:cs="Times New Roman" w:ascii="Times New Roman" w:hAnsi="Times New Roman"/>
          <w:sz w:val="24"/>
        </w:rPr>
        <w:t>Power marketers will face much uncertainty and risks caused by the Commission’s reporting requirements.</w:t>
      </w:r>
      <w:r>
        <w:rPr>
          <w:rStyle w:val="FootnoteCharacters"/>
          <w:rStyle w:val="FootnoteReference"/>
          <w:rFonts w:cs="Times New Roman" w:ascii="Times New Roman" w:hAnsi="Times New Roman"/>
          <w:sz w:val="24"/>
          <w:vertAlign w:val="superscript"/>
        </w:rPr>
        <w:footnoteReference w:id="4"/>
      </w:r>
      <w:r>
        <w:rPr>
          <w:rFonts w:cs="Times New Roman" w:ascii="Times New Roman" w:hAnsi="Times New Roman"/>
          <w:sz w:val="24"/>
        </w:rPr>
        <w:t xml:space="preserve">  Power marketers cannot access the incremental generation costs of the resources they trade. Typically a marketer bids to sell based on anticipated market conditions, not opportunity costs.  Adding to the uncertainty faced by bidders is the fact that FERC has never really defined what constitutes opportunity costs. This is compounded by the fact that the Commission has never had to determine what just and reasonable rates are for entities that have market-based rates or at what rates entities with market-based rates would be found to have exercised market power.</w:t>
      </w:r>
    </w:p>
    <w:p>
      <w:pPr>
        <w:pStyle w:val="FaxNormal"/>
        <w:spacing w:lineRule="auto" w:line="480" w:before="0" w:after="240"/>
        <w:rPr>
          <w:rFonts w:ascii="Times New Roman" w:hAnsi="Times New Roman" w:cs="Times New Roman"/>
          <w:sz w:val="24"/>
        </w:rPr>
      </w:pPr>
      <w:r>
        <w:rPr>
          <w:rFonts w:cs="Times New Roman" w:ascii="Times New Roman" w:hAnsi="Times New Roman"/>
          <w:sz w:val="24"/>
        </w:rPr>
        <w:t xml:space="preserve">Given the risk of being unable to properly document opportunity cost and being subject to a refund, power marketers will likely seek to sell power out of California where the same price will prevail without such reporting requirements.  Although sellers that directly own and control generation may be in a better position to document incremental generation costs, the $150/MWh cap will not provide sufficient incentive for them to sell their resources to the California market.   And developers will opt to install units in other areas of the country or the world.  Thus, the Commission’s $150 cap will simply lead to short supplies and reliability problems in the ISO.  </w:t>
      </w:r>
    </w:p>
    <w:p>
      <w:pPr>
        <w:pStyle w:val="Heading1"/>
        <w:rPr>
          <w:b/>
        </w:rPr>
      </w:pPr>
      <w:r>
        <w:rPr>
          <w:b/>
        </w:rPr>
        <w:t xml:space="preserve">The Commission Must Remove the Barriers to Market Transparency </w:t>
      </w:r>
    </w:p>
    <w:p>
      <w:pPr>
        <w:pStyle w:val="BodyText"/>
        <w:rPr/>
      </w:pPr>
      <w:r>
        <w:rPr/>
        <w:t>As we discussed in our white paper, in California’s power markets, the California Independent System Operator Corporation (ISO) releases only small amounts of transmission market information and releases it so late that many operating and scheduling decisions have to be made “in the dark.”  The absence of this information thwarts critical elements necessary for a vibrant and competitive electricity market and the very OASIS principals the Commission established in Order Nos. 888 and 889.  The list of such important market information withheld from by the ISO and PX includes: available transmission capacity, congestion management calculations, target price mechanism, bids, and information about out of market calls.  In essence, the California ISO acts as a “traffic cop” for a complex “highway” with many constraints. The Commission could relieve congestion and reach a more efficient allocation of resources by improving the quality of “traffic reports” provided to market participants. Then, for example, not all of the cars would try to drive across the same bridge simultaneously, while other routes go unused. Accordingly, the Commission should require the ISO and PX to release to the market all market information held by the ISO as soon as it is received to allow for efficient arbitrage.  For the same reason the Commission determines this information necessary for it to analyze the market, market participants need the information to provide the best possible offerings to customers.</w:t>
      </w:r>
    </w:p>
    <w:p>
      <w:pPr>
        <w:pStyle w:val="FaxNormal"/>
        <w:spacing w:lineRule="auto" w:line="480" w:before="0" w:after="240"/>
        <w:rPr>
          <w:rFonts w:ascii="Times New Roman" w:hAnsi="Times New Roman" w:cs="Times New Roman"/>
          <w:b/>
          <w:sz w:val="24"/>
        </w:rPr>
      </w:pPr>
      <w:r>
        <w:rPr>
          <w:rFonts w:cs="Times New Roman" w:ascii="Times New Roman" w:hAnsi="Times New Roman"/>
          <w:b/>
          <w:sz w:val="24"/>
        </w:rPr>
        <w:t>The Commission and California Must Encourage  More Liquidity and Stability</w:t>
      </w:r>
    </w:p>
    <w:p>
      <w:pPr>
        <w:pStyle w:val="FaxNormal"/>
        <w:spacing w:lineRule="auto" w:line="480" w:before="0" w:after="240"/>
        <w:rPr>
          <w:rFonts w:ascii="Times New Roman" w:hAnsi="Times New Roman" w:cs="Times New Roman"/>
          <w:sz w:val="24"/>
        </w:rPr>
      </w:pPr>
      <w:r>
        <w:rPr>
          <w:rFonts w:cs="Times New Roman" w:ascii="Times New Roman" w:hAnsi="Times New Roman"/>
          <w:sz w:val="24"/>
        </w:rPr>
        <w:t>Numerous reports on market structure, including the staff report attached to the FERC’s order, emphasized the over reliance on short-term markets to be a cause of California’s volatile prices.  Enron has emphasized this point in its white paper [cite] and believes that outside of California there exists a vibrant and liquid forward market.  Enron will document this in written comments responding to the FERC order.  The FERC recognized the problems caused by a lack of forward contracting when it eliminated the mandatory buy requirement from the California PX. We commend the Commission’s action in this regard and its preemption of state policies that do otherwise.  Now, however, the problem lies in getting the California UDCs to enter into forward markets by convincing the CPUC that forward markets are liquid and UDCs should therefore be allowed to recover their procurement costs of forward contracts. Enron believes that forward contracting will be the best price hedge and form of customer protection.</w:t>
      </w:r>
    </w:p>
    <w:p>
      <w:pPr>
        <w:pStyle w:val="FaxNormal"/>
        <w:spacing w:lineRule="auto" w:line="480" w:before="0" w:after="240"/>
        <w:rPr>
          <w:rFonts w:ascii="Times New Roman" w:hAnsi="Times New Roman" w:cs="Times New Roman"/>
          <w:b/>
          <w:sz w:val="24"/>
        </w:rPr>
      </w:pPr>
      <w:r>
        <w:rPr>
          <w:rFonts w:cs="Times New Roman" w:ascii="Times New Roman" w:hAnsi="Times New Roman"/>
          <w:b/>
          <w:sz w:val="24"/>
        </w:rPr>
        <w:t>Need for Promoting Retail Competition and Demand Responsiveness</w:t>
      </w:r>
    </w:p>
    <w:p>
      <w:pPr>
        <w:pStyle w:val="FaxNormal"/>
        <w:spacing w:lineRule="auto" w:line="480" w:before="0" w:after="240"/>
        <w:rPr>
          <w:rFonts w:ascii="Times New Roman" w:hAnsi="Times New Roman" w:cs="Times New Roman"/>
          <w:sz w:val="24"/>
        </w:rPr>
      </w:pPr>
      <w:r>
        <w:rPr>
          <w:rFonts w:cs="Times New Roman" w:ascii="Times New Roman" w:hAnsi="Times New Roman"/>
          <w:sz w:val="24"/>
        </w:rPr>
        <w:t xml:space="preserve">As is now well known, customer choice has been exercised by only a limited number of customers in the state, mostly due to the continuation of the rate freeze for Southern California Edison and Pacific Gas &amp; Electric Co.  Under the rate freeze, most retail customers continue to be served by their utilities at average rates that in no way reflect the hourly cost of power. The resulting ‘half a market’ lets the price spike when supplies are very tight, as no customer has any direct incentive to reduce their consumption in the very hours when prices are high. The situation is akin to an apartment building where all tenants are served on the same meter – no tenant will his or her adjust air conditioner if the resulting cost savings are spread between everyone in the building. California’s rate freeze has  similarly blocked the effects of competition’s “invisible hand” – and in doing so has raised the costs of buying power in the market.  You may think that retail customers can’t handle price signals of this degree.  However, they can and should.  Specifically, they can change service providers to obtain a fixed price option from a provider that hedges their risk in the forward market.  But if customers do not receive these price signals they will have no incentive to choose conservation or time-of-use technologies.  </w:t>
      </w:r>
    </w:p>
    <w:p>
      <w:pPr>
        <w:pStyle w:val="FaxNormal"/>
        <w:spacing w:lineRule="auto" w:line="480" w:before="0" w:after="240"/>
        <w:rPr/>
      </w:pPr>
      <w:r>
        <w:rPr>
          <w:rFonts w:cs="Times New Roman" w:ascii="Times New Roman" w:hAnsi="Times New Roman"/>
          <w:sz w:val="24"/>
        </w:rPr>
        <w:t>The nominal exemption of demand bids from the FERC’s $150/MHh cap</w:t>
      </w:r>
      <w:r>
        <w:rPr/>
        <w:t xml:space="preserve"> </w:t>
      </w:r>
      <w:r>
        <w:rPr>
          <w:rStyle w:val="FootnoteCharacters"/>
          <w:rStyle w:val="FootnoteReference"/>
          <w:rFonts w:cs="Times New Roman" w:ascii="Times New Roman" w:hAnsi="Times New Roman"/>
          <w:sz w:val="24"/>
        </w:rPr>
        <w:footnoteReference w:id="5"/>
      </w:r>
      <w:r>
        <w:rPr>
          <w:rFonts w:cs="Times New Roman" w:ascii="Times New Roman" w:hAnsi="Times New Roman"/>
          <w:sz w:val="24"/>
        </w:rPr>
        <w:t xml:space="preserve"> does not materially free up demand-side resources in any way.  Why should the ISO pursue demand-side resources in excess of the cap if supply-side resources can be found below the cap?  Enron observed a significant drop off in interest for demand side bidding when  the ISO implemented a $250/MWh price cap this past summer. </w:t>
      </w:r>
      <w:r>
        <w:rPr>
          <w:rStyle w:val="FootnoteCharacters"/>
          <w:rStyle w:val="FootnoteReference"/>
          <w:rFonts w:cs="Times New Roman" w:ascii="Times New Roman" w:hAnsi="Times New Roman"/>
          <w:sz w:val="24"/>
        </w:rPr>
        <w:footnoteReference w:id="6"/>
      </w:r>
      <w:r>
        <w:rPr>
          <w:rFonts w:cs="Times New Roman" w:ascii="Times New Roman" w:hAnsi="Times New Roman"/>
          <w:sz w:val="24"/>
        </w:rPr>
        <w:t xml:space="preserve">  The uncertainty created by price caps was sufficient to make a customer with potential demand-side resources pull out of the market.  Ultimately the only way that demand responsiveness will be a part of the solution will be the elimination of price restraints.  At that time, new supply and elastic demand will act to moderate prices.</w:t>
      </w:r>
    </w:p>
    <w:p>
      <w:pPr>
        <w:pStyle w:val="FaxNormal"/>
        <w:spacing w:lineRule="auto" w:line="480" w:before="0" w:after="240"/>
        <w:rPr>
          <w:rFonts w:ascii="Times New Roman" w:hAnsi="Times New Roman" w:cs="Times New Roman"/>
          <w:b/>
          <w:sz w:val="24"/>
        </w:rPr>
      </w:pPr>
      <w:r>
        <w:rPr>
          <w:rFonts w:cs="Times New Roman" w:ascii="Times New Roman" w:hAnsi="Times New Roman"/>
          <w:b/>
          <w:sz w:val="24"/>
        </w:rPr>
        <w:t>A Few Thoughts in Summary</w:t>
      </w:r>
    </w:p>
    <w:p>
      <w:pPr>
        <w:pStyle w:val="FaxNormal"/>
        <w:spacing w:lineRule="auto" w:line="480" w:before="0" w:after="240"/>
        <w:rPr>
          <w:rFonts w:ascii="Times New Roman" w:hAnsi="Times New Roman" w:cs="Times New Roman"/>
          <w:sz w:val="24"/>
        </w:rPr>
      </w:pPr>
      <w:r>
        <w:rPr>
          <w:rFonts w:cs="Times New Roman" w:ascii="Times New Roman" w:hAnsi="Times New Roman"/>
          <w:sz w:val="24"/>
        </w:rPr>
        <w:t>Enron commends both the Commission for its decision and the staff for its report.  The order does much to take California out of its current crisis and move the market in the correct direction.  Enron recognizes the staff’s thorough analysis of the causes of the current market behavior. We wholeheartedly support the FERC decisions to reject the ISO’s current price caps, replace the current stakeholder board with an independent board, eliminate the mandatory PX buy requirement for the IOUs, and order the ISO to file generation interconnection procedures.</w:t>
      </w:r>
    </w:p>
    <w:p>
      <w:pPr>
        <w:pStyle w:val="FaxNormal"/>
        <w:spacing w:lineRule="auto" w:line="480" w:before="0" w:after="240"/>
        <w:rPr/>
      </w:pPr>
      <w:r>
        <w:rPr>
          <w:rFonts w:cs="Times New Roman" w:ascii="Times New Roman" w:hAnsi="Times New Roman"/>
          <w:sz w:val="24"/>
        </w:rPr>
        <w:t xml:space="preserve">However, to reduce prices and have vibrant, competitive markets, the Commission must finish the market it started.  In other words it must ensure transparent, liquid and diverse markets that are allowed to trade at </w:t>
      </w:r>
      <w:r>
        <w:rPr>
          <w:rFonts w:cs="Times New Roman" w:ascii="Times New Roman" w:hAnsi="Times New Roman"/>
          <w:i/>
          <w:sz w:val="24"/>
        </w:rPr>
        <w:t xml:space="preserve">real </w:t>
      </w:r>
      <w:r>
        <w:rPr>
          <w:rFonts w:cs="Times New Roman" w:ascii="Times New Roman" w:hAnsi="Times New Roman"/>
          <w:sz w:val="24"/>
        </w:rPr>
        <w:t xml:space="preserve">market-based wholesale rates.  Only these actions will promote sufficient price discovery, risk mitigation, market entry, and new investment in generating capacity, conservation, and alternative technologies to produce the highest and best consumer benefit. </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 Antiqua">
    <w:altName w:val="Georgi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8</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jc w:val="both"/>
        <w:rPr/>
      </w:pPr>
      <w:r>
        <w:rPr>
          <w:rStyle w:val="FootnoteCharacters"/>
        </w:rPr>
        <w:footnoteRef/>
      </w:r>
      <w:r>
        <w:rPr/>
        <w:t xml:space="preserve"> </w:t>
      </w:r>
      <w:r>
        <w:rPr/>
        <w:t>[CITE]</w:t>
      </w:r>
    </w:p>
  </w:footnote>
  <w:footnote w:id="3">
    <w:p>
      <w:pPr>
        <w:pStyle w:val="FootnoteText"/>
        <w:suppressAutoHyphens w:val="true"/>
        <w:spacing w:before="0" w:after="240"/>
        <w:ind w:hanging="720" w:start="720" w:end="0"/>
        <w:jc w:val="both"/>
        <w:rPr/>
      </w:pPr>
      <w:r>
        <w:rPr>
          <w:rStyle w:val="FootnoteCharacters"/>
        </w:rPr>
        <w:footnoteRef/>
      </w:r>
      <w:r>
        <w:rPr/>
        <w:t xml:space="preserve"> </w:t>
      </w:r>
      <w:r>
        <w:rPr/>
        <w:t>Order at</w:t>
      </w:r>
      <w:r>
        <w:rPr>
          <w:rFonts w:cs="Times New Roman" w:ascii="Times New Roman" w:hAnsi="Times New Roman"/>
          <w:sz w:val="24"/>
        </w:rPr>
        <w:t xml:space="preserve"> 42, fn 91,</w:t>
      </w:r>
    </w:p>
  </w:footnote>
  <w:footnote w:id="4">
    <w:p>
      <w:pPr>
        <w:pStyle w:val="FootnoteText"/>
        <w:suppressAutoHyphens w:val="true"/>
        <w:spacing w:before="0" w:after="240"/>
        <w:ind w:hanging="720" w:start="720" w:end="0"/>
        <w:jc w:val="both"/>
        <w:rPr/>
      </w:pPr>
      <w:r>
        <w:rPr>
          <w:rStyle w:val="FootnoteCharacters"/>
        </w:rPr>
        <w:footnoteRef/>
      </w:r>
      <w:r>
        <w:rPr/>
        <w:t xml:space="preserve"> </w:t>
      </w:r>
      <w:r>
        <w:rPr>
          <w:rFonts w:cs="Times New Roman" w:ascii="Times New Roman" w:hAnsi="Times New Roman"/>
          <w:sz w:val="24"/>
        </w:rPr>
        <w:t xml:space="preserve">The Order requires, among other things, that bidders selling in excess of $150/MHh identify the “incremental generation cost” or “legitimate opportunity costs that are known and verifiable that the seller considered in developing its bid, i.e., prior to the transaction.”  Order at xx.  </w:t>
      </w:r>
    </w:p>
  </w:footnote>
  <w:footnote w:id="5">
    <w:p>
      <w:pPr>
        <w:pStyle w:val="FootnoteText"/>
        <w:suppressAutoHyphens w:val="true"/>
        <w:spacing w:before="0" w:after="240"/>
        <w:ind w:hanging="720" w:start="720" w:end="0"/>
        <w:jc w:val="both"/>
        <w:rPr/>
      </w:pPr>
      <w:r>
        <w:rPr>
          <w:rStyle w:val="FootnoteCharacters"/>
        </w:rPr>
        <w:footnoteRef/>
      </w:r>
      <w:r>
        <w:rPr/>
        <w:t xml:space="preserve"> </w:t>
      </w:r>
      <w:r>
        <w:rPr/>
        <w:t xml:space="preserve">Order at </w:t>
      </w:r>
      <w:r>
        <w:rPr>
          <w:rFonts w:cs="Times New Roman" w:ascii="Times New Roman" w:hAnsi="Times New Roman"/>
          <w:sz w:val="24"/>
        </w:rPr>
        <w:t>39, fn 84.</w:t>
      </w:r>
    </w:p>
  </w:footnote>
  <w:footnote w:id="6">
    <w:p>
      <w:pPr>
        <w:pStyle w:val="FootnoteText"/>
        <w:suppressAutoHyphens w:val="true"/>
        <w:spacing w:before="0" w:after="240"/>
        <w:ind w:hanging="720" w:start="720" w:end="0"/>
        <w:jc w:val="both"/>
        <w:rPr/>
      </w:pPr>
      <w:r>
        <w:rPr>
          <w:rStyle w:val="FootnoteCharacters"/>
        </w:rPr>
        <w:footnoteRef/>
      </w:r>
      <w:r>
        <w:rPr/>
        <w:t xml:space="preserve"> </w:t>
      </w:r>
      <w:r>
        <w:rPr/>
        <w:t>Need Sue Mara to document.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lang w:eastAsia="en-US"/>
      </w:rPr>
    </w:pPr>
    <w:r>
      <w:rPr>
        <w:b/>
        <w:sz w:val="24"/>
        <w:lang w:eastAsia="en-US"/>
      </w:rPr>
      <w:t>Finishing What We’ve Started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lowerRoman"/>
      <w:lvlText w:val="%1."/>
      <w:lvlJc w:val="start"/>
      <w:pPr>
        <w:tabs>
          <w:tab w:val="num" w:pos="5760"/>
        </w:tabs>
        <w:ind w:start="5760" w:hanging="50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440" w:leader="none"/>
      </w:tabs>
      <w:spacing w:lineRule="auto" w:line="480"/>
      <w:ind w:hanging="0" w:start="0" w:end="720"/>
      <w:jc w:val="both"/>
      <w:outlineLvl w:val="0"/>
    </w:pPr>
    <w:rPr>
      <w:sz w:val="24"/>
    </w:rPr>
  </w:style>
  <w:style w:type="paragraph" w:styleId="Heading2">
    <w:name w:val="heading 2"/>
    <w:basedOn w:val="Normal"/>
    <w:next w:val="Normal"/>
    <w:qFormat/>
    <w:pPr>
      <w:keepNext w:val="true"/>
      <w:numPr>
        <w:ilvl w:val="1"/>
        <w:numId w:val="1"/>
      </w:numPr>
      <w:spacing w:lineRule="auto" w:line="480"/>
      <w:jc w:val="both"/>
      <w:outlineLvl w:val="1"/>
    </w:pPr>
    <w:rPr>
      <w:b/>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tabs>
        <w:tab w:val="clear" w:pos="720"/>
        <w:tab w:val="left" w:pos="-1440" w:leader="none"/>
      </w:tabs>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axNormal">
    <w:name w:val="FaxNormal"/>
    <w:basedOn w:val="Normal"/>
    <w:qFormat/>
    <w:pPr>
      <w:suppressAutoHyphens w:val="true"/>
      <w:jc w:val="both"/>
    </w:pPr>
    <w:rPr>
      <w:rFonts w:ascii="Book Antiqua;Georgia" w:hAnsi="Book Antiqua;Georgia" w:cs="Book Antiqua;Georgia"/>
      <w:sz w:val="22"/>
    </w:rPr>
  </w:style>
  <w:style w:type="paragraph" w:styleId="FootnoteText">
    <w:name w:val="footnote text"/>
    <w:basedOn w:val="Normal"/>
    <w:pPr>
      <w:suppressAutoHyphens w:val="true"/>
      <w:spacing w:before="0" w:after="240"/>
      <w:ind w:hanging="720" w:start="720" w:end="0"/>
      <w:jc w:val="both"/>
    </w:pPr>
    <w:rPr>
      <w:rFonts w:ascii="Book Antiqua;Georgia" w:hAnsi="Book Antiqua;Georgia" w:cs="Book Antiqua;Georgia"/>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2000-11-07T19:58:00Z</dcterms:created>
  <dc:creator>mhain</dc:creator>
  <dc:description/>
  <dc:language>en-CA</dc:language>
  <cp:lastModifiedBy>mhain</cp:lastModifiedBy>
  <cp:lastPrinted>2000-11-07T14:31:00Z</cp:lastPrinted>
  <dcterms:modified xsi:type="dcterms:W3CDTF">2000-11-07T21:28:00Z</dcterms:modified>
  <cp:revision>3</cp:revision>
  <dc:subject/>
  <dc:title>BEFORE THE </dc:title>
</cp:coreProperties>
</file>