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BEFORE THE </w:t>
      </w:r>
    </w:p>
    <w:p>
      <w:pPr>
        <w:pStyle w:val="Heading"/>
        <w:rPr/>
      </w:pPr>
      <w:r>
        <w:rPr/>
        <w:t>FEDERAL ENERGY REGULATORY COMMISSION</w:t>
      </w:r>
    </w:p>
    <w:p>
      <w:pPr>
        <w:pStyle w:val="Heading"/>
        <w:rPr/>
      </w:pPr>
      <w:r>
        <w:rPr/>
      </w:r>
    </w:p>
    <w:p>
      <w:pPr>
        <w:pStyle w:val="Heading"/>
        <w:rPr/>
      </w:pPr>
      <w:r>
        <w:rPr/>
      </w:r>
    </w:p>
    <w:p>
      <w:pPr>
        <w:pStyle w:val="Heading"/>
        <w:jc w:val="start"/>
        <w:rPr>
          <w:b w:val="false"/>
        </w:rPr>
      </w:pPr>
      <w:r>
        <w:rPr>
          <w:b w:val="false"/>
        </w:rPr>
        <w:t>[ADD DOCKET NUMBERS HERE]</w:t>
      </w:r>
    </w:p>
    <w:p>
      <w:pPr>
        <w:pStyle w:val="Heading"/>
        <w:rPr>
          <w:b w:val="false"/>
        </w:rPr>
      </w:pPr>
      <w:r>
        <w:rPr>
          <w:b w:val="false"/>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sz w:val="48"/>
        </w:rPr>
      </w:pPr>
      <w:r>
        <w:rPr>
          <w:sz w:val="48"/>
        </w:rPr>
        <w:t>FINISHING WHAT</w:t>
      </w:r>
    </w:p>
    <w:p>
      <w:pPr>
        <w:pStyle w:val="Heading"/>
        <w:rPr>
          <w:sz w:val="48"/>
        </w:rPr>
      </w:pPr>
      <w:r>
        <w:rPr>
          <w:sz w:val="48"/>
        </w:rPr>
        <w:t>WE’VE STARTED</w:t>
      </w:r>
    </w:p>
    <w:p>
      <w:pPr>
        <w:pStyle w:val="Heading"/>
        <w:rPr>
          <w:sz w:val="48"/>
        </w:rPr>
      </w:pPr>
      <w:r>
        <w:rPr>
          <w:sz w:val="48"/>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sz w:val="28"/>
        </w:rPr>
      </w:pPr>
      <w:r>
        <w:rPr>
          <w:sz w:val="28"/>
        </w:rPr>
        <w:t>STEVEN J. KEAN</w:t>
      </w:r>
    </w:p>
    <w:p>
      <w:pPr>
        <w:pStyle w:val="Heading"/>
        <w:rPr>
          <w:sz w:val="28"/>
        </w:rPr>
      </w:pPr>
      <w:r>
        <w:rPr>
          <w:sz w:val="28"/>
        </w:rPr>
        <w:t>EXECUTIVE VICE PRESIDENT</w:t>
      </w:r>
    </w:p>
    <w:p>
      <w:pPr>
        <w:pStyle w:val="Normal"/>
        <w:jc w:val="center"/>
        <w:rPr>
          <w:b/>
          <w:sz w:val="28"/>
        </w:rPr>
      </w:pPr>
      <w:r>
        <w:rPr>
          <w:b/>
          <w:sz w:val="28"/>
        </w:rPr>
      </w:r>
    </w:p>
    <w:p>
      <w:pPr>
        <w:pStyle w:val="Normal"/>
        <w:jc w:val="center"/>
        <w:rPr>
          <w:b/>
          <w:sz w:val="28"/>
        </w:rPr>
      </w:pPr>
      <w:r>
        <w:rPr>
          <w:b/>
          <w:sz w:val="28"/>
        </w:rPr>
        <w:t>ENRON CORP.</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November 9, 2000</w:t>
      </w:r>
    </w:p>
    <w:p>
      <w:pPr>
        <w:pStyle w:val="Normal"/>
        <w:jc w:val="center"/>
        <w:rPr>
          <w:b/>
          <w:sz w:val="24"/>
        </w:rPr>
      </w:pPr>
      <w:r>
        <w:rPr>
          <w:b/>
          <w:sz w:val="24"/>
        </w:rPr>
        <w:t xml:space="preserve">Washington, D.C. </w:t>
      </w:r>
      <w:r>
        <w:br w:type="page"/>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The California market is only half a market in which many of the normal processes that constrain price</w:t>
        <w:tab/>
        <w:t>s are absent. This market structure is not accidental, but is instead primarily the logical consequence of perhaps well-intended state legislative and regulatory policies that have prevented real wholesale competition from emerging.  Enron’s October 20 White Paper filed with the Commission identifies the major areas of improvement for completing the market and increasing competitive pressures on prices and the Commission’s order addressed several of these problem areas.  However, it still does not address the two primary problems that needs to be fixed: proper price signals and liquidity.  There are two precursors of sending proper price signals: removing price caps and improving market transparency by providing market information to market participants.</w:t>
      </w:r>
    </w:p>
    <w:p>
      <w:pPr>
        <w:pStyle w:val="FaxNormal"/>
        <w:spacing w:lineRule="auto" w:line="480" w:before="0" w:after="240"/>
        <w:rPr>
          <w:rFonts w:ascii="Times New Roman" w:hAnsi="Times New Roman" w:cs="Times New Roman"/>
          <w:b/>
          <w:sz w:val="24"/>
        </w:rPr>
      </w:pPr>
      <w:r>
        <w:rPr>
          <w:rFonts w:cs="Times New Roman" w:ascii="Times New Roman" w:hAnsi="Times New Roman"/>
          <w:b/>
          <w:sz w:val="24"/>
        </w:rPr>
        <w:t>The Commission Must Remove Price Caps</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In Enron’s written comments we will show that the Commission should remove the proposed price cap because there will be no need for a cap once the Commission’s other measures are implemented.  In particular, the Commission should not arbitrarily continue a price cap until the end of 2001 because the independent board will, in an unbiased manner, review the reports of the Department of Market Monitoring and file any necessary mitigation measures on an ongoing basis.  Further, for the reasons detailed in our white paper, price caps are a conceptually flawed mitigation measure in particular they will not promote the generation badly needed in California.</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Nevertheless, assuming the Commission adopts a price cap, the proposed price cap is flawed in that its complicated nature and low level introduces too much market risk.  From Enron’s perspective as a power project developer, a price cap of $150 is too low to incent peaker investment especially given the burdensome reporting requirements and refund risk.  And even though generators could theoretically charge a higher rate and the Commission has limited the duration of the cap, developers of peaking units will not want to risk the Commission second-guessing whether they have earned too much profit from their units or deciding to extend or change the caps.  Instead they will opt to install these units in other areas of the country or the world.  Further, as we will detail in our written comments, short-term marginal cost is not an appropriate standard of whether there is market power.</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From Enron’s perspective as a marketer, the ability to charge over the $150 cap is illusory because Enron does not own any significant amount of generation.  Accordingly, Enron does not have marginal costs.  So the only way for Enron to charge more that $150 is to prove opportunity costs and the FERC has never really defined what constitutes opportunity costs.  Accordingly, in circumstances where Enron could justifiably (from its perspective) charge more than $150 it would not be inclined to participate in the California market even where it bought that power for more than $150 because it would be at risk for refunds.  This proposal will simply lead to short supplies and reliability problems in the ISO.  This is compounded by the fact that the Commission has never had to determined what just and reasonable rates are for entities that have market-based rates or at what rates entities with market-based rates would be found to have exercised market power.</w:t>
      </w:r>
    </w:p>
    <w:p>
      <w:pPr>
        <w:pStyle w:val="Heading1"/>
        <w:rPr>
          <w:b/>
        </w:rPr>
      </w:pPr>
      <w:r>
        <w:rPr>
          <w:b/>
        </w:rPr>
        <w:t xml:space="preserve">The Commission Must Remove the Barriers to Market Transparency </w:t>
      </w:r>
    </w:p>
    <w:p>
      <w:pPr>
        <w:pStyle w:val="BodyText"/>
        <w:rPr/>
      </w:pPr>
      <w:r>
        <w:rPr/>
        <w:t>As we discussed in our white paper, in California’s power markets, the California Independent System Operator Corporation (ISO) releases only small amounts of transmission market information and releases it so late that many operating and scheduling decisions have to be made “in the dark.”  The absence of this information thwarts critical elements necessary for a vibrant and competitive electricity market and the very OASIS principals the Commission established in Order Nos. 888 and 889.  The list of such important market information withheld from the market includes: available transmission capacity, congestion management calculations, bids, etc.  In essence, the California ISO acts as a “traffic cop” for a complex “highway” with many constraints. The Commission could unblock congestion and reach a more efficient allocation of resources by improving the quality of “traffic reports” provided to market participants. Then, for example, not all of the cars would try to drive across the same bridge simultaneously, while other routes go unused. Accordingly, the Commission should require the ISO to release to the market all market information held by the ISO as soon as it is received to allow for efficient arbitrage.</w:t>
      </w:r>
    </w:p>
    <w:p>
      <w:pPr>
        <w:pStyle w:val="FaxNormal"/>
        <w:spacing w:lineRule="auto" w:line="480" w:before="0" w:after="240"/>
        <w:rPr>
          <w:rFonts w:ascii="Times New Roman" w:hAnsi="Times New Roman" w:cs="Times New Roman"/>
          <w:b/>
          <w:sz w:val="24"/>
        </w:rPr>
      </w:pPr>
      <w:r>
        <w:rPr>
          <w:rFonts w:cs="Times New Roman" w:ascii="Times New Roman" w:hAnsi="Times New Roman"/>
          <w:b/>
          <w:sz w:val="24"/>
        </w:rPr>
        <w:t>The Commission and California Must Create More Liquidity</w:t>
      </w:r>
    </w:p>
    <w:p>
      <w:pPr>
        <w:pStyle w:val="FaxNormal"/>
        <w:spacing w:lineRule="auto" w:line="480" w:before="0" w:after="240"/>
        <w:rPr>
          <w:rFonts w:ascii="Times New Roman" w:hAnsi="Times New Roman" w:cs="Times New Roman"/>
          <w:sz w:val="24"/>
        </w:rPr>
      </w:pPr>
      <w:r>
        <w:rPr>
          <w:rFonts w:cs="Times New Roman" w:ascii="Times New Roman" w:hAnsi="Times New Roman"/>
          <w:sz w:val="24"/>
        </w:rPr>
        <w:t>Liquid markets depend on the existence of many buyers and sellers.  State legislation and policies in California financially hobble the creation of liquid markets by limiting the number of sellers.  This is because, under these policies, most retail customers continue to be served by their utilities at average rates that in no way reflect the hourly cost of power. The high cost of buying power is paid either by the utility (for those customers still under the rate freeze) or it is spread over all customers in the area (such as San Diego’s customers). The resulting ‘half a market’ lets the price spike when supplies are very tight, as no customer has any direct incentive to reduce their consumption in the very hours when prices are high. The situation is akin to an apartment building where all tenants are served on the same meter – no tenant will turn their air conditioner off if the cost savings are spread between everyone in the building, or are kept by the landlord. California’s policies have similarly blocked the effects of competition’s “invisible hand” – and in doing so have raised the costs of buying power in the market.  You may think that retail customers can’t handle price signals of this degree.  However, they can and should.  Specifically, they can change service providers to obtain a fixed price option from a provider that hedges their risk in the forward market.  But if customers do not receive these price signals they will have no incentive to choose conservation or time-of-use technologies.  Nor will developers see the demand necessary to incent them to produce these products.  The Commission and California need to create more buyers and sellers of retail power.</w:t>
      </w:r>
    </w:p>
    <w:p>
      <w:pPr>
        <w:pStyle w:val="BodyText"/>
        <w:rPr/>
      </w:pPr>
      <w:r>
        <w:rPr/>
        <w:t>We commend the Commission for its well supported and logical decisions to remove impediments to the UDC’s trading in bilateral markets and agree the Commission has the authority -- to effectuate its pervasive scheme of deregulation in California -- to preempt state policies to do so.  We also concur that UDCs should be required to properly schedule load in the PX.  We wholeheartedly support the intent to replace the Stakeholder board with an independent board and to direct the ISO to file generation interconnection procedures.</w:t>
      </w:r>
      <w:r>
        <w:br w:type="page"/>
      </w:r>
    </w:p>
    <w:p>
      <w:pPr>
        <w:pStyle w:val="FaxNormal"/>
        <w:spacing w:lineRule="auto" w:line="480" w:before="0" w:after="240"/>
        <w:rPr>
          <w:rFonts w:ascii="Times New Roman" w:hAnsi="Times New Roman" w:cs="Times New Roman"/>
          <w:b/>
          <w:sz w:val="24"/>
        </w:rPr>
      </w:pPr>
      <w:r>
        <w:rPr>
          <w:rFonts w:cs="Times New Roman" w:ascii="Times New Roman" w:hAnsi="Times New Roman"/>
          <w:b/>
          <w:sz w:val="24"/>
        </w:rPr>
        <w:t>A Few Thoughts in Summary</w:t>
      </w:r>
    </w:p>
    <w:p>
      <w:pPr>
        <w:pStyle w:val="FaxNormal"/>
        <w:spacing w:lineRule="auto" w:line="480" w:before="0" w:after="240"/>
        <w:rPr/>
      </w:pPr>
      <w:r>
        <w:rPr>
          <w:rFonts w:cs="Times New Roman" w:ascii="Times New Roman" w:hAnsi="Times New Roman"/>
          <w:sz w:val="24"/>
        </w:rPr>
        <w:t xml:space="preserve">To reduce prices and have vibrant, competitive markets, the Commission must finish the market it started.  In other words it must ensure transparent, liquid and diverse markets that are allowed to trade at </w:t>
      </w:r>
      <w:r>
        <w:rPr>
          <w:rFonts w:cs="Times New Roman" w:ascii="Times New Roman" w:hAnsi="Times New Roman"/>
          <w:i/>
          <w:sz w:val="24"/>
        </w:rPr>
        <w:t xml:space="preserve">real </w:t>
      </w:r>
      <w:r>
        <w:rPr>
          <w:rFonts w:cs="Times New Roman" w:ascii="Times New Roman" w:hAnsi="Times New Roman"/>
          <w:sz w:val="24"/>
        </w:rPr>
        <w:t xml:space="preserve">market-based wholesale rates.  Only these actions will promote sufficient price discovery, risk mitigation, market entry, and new investment in generating capacity, conservation, and alternative technologies to produce the highest and </w:t>
      </w:r>
      <w:r>
        <w:rPr>
          <w:rFonts w:cs="Helv" w:ascii="Helv" w:hAnsi="Helv"/>
          <w:color w:val="000000"/>
          <w:sz w:val="18"/>
          <w:lang w:eastAsia="en-US"/>
        </w:rPr>
        <w:t>Dave Parquet, Chris Calger,</w:t>
      </w:r>
      <w:r>
        <w:rPr>
          <w:rFonts w:cs="Times New Roman" w:ascii="Times New Roman" w:hAnsi="Times New Roman"/>
          <w:sz w:val="24"/>
        </w:rPr>
        <w:t xml:space="preserve">best consumer benefit.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 Antiqua">
    <w:altName w:val="Georgia"/>
    <w:charset w:val="00" w:characterSet="windows-1252"/>
    <w:family w:val="roman"/>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6</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lang w:eastAsia="en-US"/>
      </w:rPr>
    </w:pPr>
    <w:r>
      <w:rPr>
        <w:b/>
        <w:sz w:val="24"/>
        <w:lang w:eastAsia="en-US"/>
      </w:rPr>
      <w:t>Finishing What We’ve Started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s>
      <w:spacing w:lineRule="auto" w:line="480"/>
      <w:ind w:hanging="0" w:start="0" w:end="720"/>
      <w:jc w:val="both"/>
      <w:outlineLvl w:val="0"/>
    </w:pPr>
    <w:rPr>
      <w:sz w:val="24"/>
    </w:rPr>
  </w:style>
  <w:style w:type="paragraph" w:styleId="Heading2">
    <w:name w:val="heading 2"/>
    <w:basedOn w:val="Normal"/>
    <w:next w:val="Normal"/>
    <w:qFormat/>
    <w:pPr>
      <w:keepNext w:val="true"/>
      <w:numPr>
        <w:ilvl w:val="1"/>
        <w:numId w:val="1"/>
      </w:numPr>
      <w:spacing w:lineRule="auto" w:line="480"/>
      <w:jc w:val="both"/>
      <w:outlineLvl w:val="1"/>
    </w:pPr>
    <w:rPr>
      <w:b/>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tabs>
        <w:tab w:val="clear" w:pos="720"/>
        <w:tab w:val="left" w:pos="-1440" w:leader="none"/>
      </w:tabs>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axNormal">
    <w:name w:val="FaxNormal"/>
    <w:basedOn w:val="Normal"/>
    <w:qFormat/>
    <w:pPr>
      <w:suppressAutoHyphens w:val="true"/>
      <w:jc w:val="both"/>
    </w:pPr>
    <w:rPr>
      <w:rFonts w:ascii="Book Antiqua;Georgia" w:hAnsi="Book Antiqua;Georgia" w:cs="Book Antiqua;Georgia"/>
      <w:sz w:val="22"/>
    </w:rPr>
  </w:style>
  <w:style w:type="paragraph" w:styleId="FootnoteText">
    <w:name w:val="footnote text"/>
    <w:basedOn w:val="Normal"/>
    <w:pPr>
      <w:suppressAutoHyphens w:val="true"/>
      <w:spacing w:before="0" w:after="240"/>
      <w:ind w:hanging="720" w:start="720" w:end="0"/>
      <w:jc w:val="both"/>
    </w:pPr>
    <w:rPr>
      <w:rFonts w:ascii="Book Antiqua;Georgia" w:hAnsi="Book Antiqua;Georgia" w:cs="Book Antiqua;Georgia"/>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2000-11-02T19:08:00Z</dcterms:created>
  <dc:creator>mhain</dc:creator>
  <dc:description/>
  <dc:language>en-CA</dc:language>
  <cp:lastModifiedBy>mhain</cp:lastModifiedBy>
  <cp:lastPrinted>2000-11-02T09:05:00Z</cp:lastPrinted>
  <dcterms:modified xsi:type="dcterms:W3CDTF">2000-11-02T23:30:00Z</dcterms:modified>
  <cp:revision>5</cp:revision>
  <dc:subject/>
  <dc:title>BEFORE THE </dc:title>
</cp:coreProperties>
</file>